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df" ContentType="application/pdf"/>
  <Override PartName="/word/media/rId48.pdf" ContentType="application/pdf"/>
  <Override PartName="/word/media/rId53.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r>
        <w:t xml:space="preserve"> </w:t>
      </w:r>
      <w:r>
        <w:t xml:space="preserve">cultivars</w:t>
      </w:r>
    </w:p>
    <w:p>
      <w:pPr>
        <w:pStyle w:val="FirstParagraph"/>
      </w:pPr>
      <w:r>
        <w:rPr>
          <w:bCs/>
          <w:b/>
        </w:rPr>
        <w:t xml:space="preserve">Iqra Akram</w:t>
      </w:r>
      <w:r>
        <w:rPr>
          <w:vertAlign w:val="superscript"/>
        </w:rPr>
        <w:t xml:space="preserve">1</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1,3*</w:t>
      </w:r>
    </w:p>
    <w:p>
      <w:pPr>
        <w:pStyle w:val="BodyText"/>
      </w:pPr>
      <w:r>
        <w:rPr>
          <w:vertAlign w:val="superscript"/>
        </w:rPr>
        <w:t xml:space="preserve">1</w:t>
      </w:r>
      <w:r>
        <w:t xml:space="preserve">Graduate School of Environmental Science, Hokkaido University, N10W5 Kita-ku,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Faculty of Environmental Earth Science, Hokkaido University, N10W5 Kita-ku,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w:t>
      </w:r>
      <w:r>
        <w:t xml:space="preserve"> </w:t>
      </w:r>
      <w:r>
        <w:t xml:space="preserve">While such spatial heterogeneity was often treated as an environmental nuisance in quantitative genetics, underlying biotic factors and loci gain remain unexplored.</w:t>
      </w:r>
      <w:r>
        <w:t xml:space="preserve"> </w:t>
      </w:r>
      <w:r>
        <w:t xml:space="preserve">To quantify disease spatial variation and associate it with neighbor genotypes, we applied applied two methods, Spatial Analysis of Field Trials with Splines (SpATS) and Neighbor Genome-Wide Association Study (Neighbor GWAS), to barley cultivars.</w:t>
      </w:r>
      <w:r>
        <w:t xml:space="preserve"> </w:t>
      </w:r>
      <w:r>
        <w:t xml:space="preserve">Having compiled the CIMMYT Australia ICARDA Germplasm Evaluation (CAIGE) data, we first applied SpATS to damages by three diseases such as the net form net blotch, spot form net blotch, and scald.</w:t>
      </w:r>
      <w:r>
        <w:t xml:space="preserve"> </w:t>
      </w:r>
      <w:r>
        <w:t xml:space="preserve">This SpATS analysis showed that XX-YY% of total phenotypic variation in net blotch and scald symptoms was attributable to spatial processes along the rows and ranges of barley fields, thereby leading us to consider these spatial positions into further variance component analysis and GWAS.</w:t>
      </w:r>
      <w:r>
        <w:t xml:space="preserve"> </w:t>
      </w:r>
      <w:r>
        <w:t xml:space="preserve">We then applied the Neighbor GWAS model to further variance component analysis and found that 10-30% variation of the three disease phenotypes was significantly explained by neighbor genotypic identity.</w:t>
      </w:r>
      <w:r>
        <w:t xml:space="preserve"> </w:t>
      </w:r>
      <w:r>
        <w:t xml:space="preserve">The Neighbor GWAS method further detected a relatively rare but significant variant that was located on the barley 7H chromosome and associated with neighbor genotypic influence on the net form net blotch.</w:t>
      </w:r>
      <w:r>
        <w:t xml:space="preserve"> </w:t>
      </w:r>
      <w:r>
        <w:t xml:space="preserve">This significant variant was estimated to have a positive effect of the allelic similarity on the disease damage, indicating an adversarial influence of its allelic mixture on the spread of net form net blotch.</w:t>
      </w:r>
      <w:r>
        <w:t xml:space="preserve"> </w:t>
      </w:r>
      <w:r>
        <w:t xml:space="preserve">These findings suggest that neighbor genotype identity may be understudied but potentially important sources of spatial heterogeneity in pest damage to field crops.</w:t>
      </w:r>
    </w:p>
    <w:bookmarkEnd w:id="21"/>
    <w:bookmarkStart w:id="22" w:name="introduction"/>
    <w:p>
      <w:pPr>
        <w:pStyle w:val="Heading1"/>
      </w:pPr>
      <w:r>
        <w:t xml:space="preserve">Introduction</w:t>
      </w:r>
    </w:p>
    <w:p>
      <w:pPr>
        <w:pStyle w:val="FirstParagraph"/>
      </w:pPr>
      <w:r>
        <w:t xml:space="preserve">Natural and field-grown plants exhibit considerable spatial variation in their phenotypes, which is shaped by abiotic and biotic factors. Pest damage, such as pathogen infection</w:t>
      </w:r>
      <w:r>
        <w:t xml:space="preserve"> </w:t>
      </w:r>
      <w:r>
        <w:t xml:space="preserve">(Rieux</w:t>
      </w:r>
      <w:r>
        <w:t xml:space="preserve"> </w:t>
      </w:r>
      <w:r>
        <w:rPr>
          <w:iCs/>
          <w:i/>
        </w:rPr>
        <w:t xml:space="preserve">et al.</w:t>
      </w:r>
      <w:r>
        <w:t xml:space="preserve"> </w:t>
      </w:r>
      <w:r>
        <w:t xml:space="preserve">2014)</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individual plants in space. While spatial heterogeneity has been considered a nuisance in plant breeding</w:t>
      </w:r>
      <w:r>
        <w:t xml:space="preserve"> </w:t>
      </w:r>
      <w:r>
        <w:t xml:space="preserve">(Rodríguez-Álvarez</w:t>
      </w:r>
      <w:r>
        <w:t xml:space="preserve"> </w:t>
      </w:r>
      <w:r>
        <w:rPr>
          <w:iCs/>
          <w:i/>
        </w:rPr>
        <w:t xml:space="preserve">et al.</w:t>
      </w:r>
      <w:r>
        <w:t xml:space="preserve"> </w:t>
      </w:r>
      <w:r>
        <w:t xml:space="preserve">2018)</w:t>
      </w:r>
      <w:r>
        <w:t xml:space="preserve">, this could be explained by biotic interactions. For example, neighboring genotypes are one of biotic factors that can shape spatial heterogeneity of pest damage.</w:t>
      </w:r>
      <w:r>
        <w:t xml:space="preserve"> </w:t>
      </w:r>
      <w:r>
        <w:rPr>
          <w:bCs/>
          <w:b/>
        </w:rPr>
        <w:t xml:space="preserve">Mention plant-plant interactions in basic biology.</w:t>
      </w:r>
      <w:r>
        <w:t xml:space="preserve"> </w:t>
      </w:r>
      <w:r>
        <w:rPr>
          <w:bCs/>
          <w:b/>
        </w:rPr>
        <w:t xml:space="preserve">Mention Interplot interference in agricultural practice.</w:t>
      </w:r>
    </w:p>
    <w:p>
      <w:pPr>
        <w:pStyle w:val="BodyText"/>
      </w:pPr>
      <w:r>
        <w:t xml:space="preserve">Disease infection represents a trait that exhibits considerable spatial variation in important field crops. For instance, barley is infected by many fungal diseases such as net blotch and scald. These fungal diseases develop in</w:t>
      </w:r>
      <w:r>
        <w:t xml:space="preserve"> </w:t>
      </w:r>
      <w:r>
        <w:rPr>
          <w:bCs/>
          <w:b/>
        </w:rPr>
        <w:t xml:space="preserve">xx-yy</w:t>
      </w:r>
      <w:r>
        <w:t xml:space="preserve"> </w:t>
      </w:r>
      <w:r>
        <w:t xml:space="preserve">days and spread out spores across a field (</w:t>
      </w:r>
      <w:r>
        <w:rPr>
          <w:bCs/>
          <w:b/>
        </w:rPr>
        <w:t xml:space="preserve">citations</w:t>
      </w:r>
      <w:r>
        <w:t xml:space="preserve">). When resistant and susceptible cultivars are grown in a proximity, patterns of spore spreading and resultant infection could create a spatially heterogeneity due to neighboring genotypes as well as stochastic dispersal. While spatial patterns have often been analyzed in field trials</w:t>
      </w:r>
      <w:r>
        <w:t xml:space="preserve"> </w:t>
      </w:r>
      <w:r>
        <w:t xml:space="preserve">(Rieux</w:t>
      </w:r>
      <w:r>
        <w:t xml:space="preserve"> </w:t>
      </w:r>
      <w:r>
        <w:rPr>
          <w:iCs/>
          <w:i/>
        </w:rPr>
        <w:t xml:space="preserve">et al.</w:t>
      </w:r>
      <w:r>
        <w:t xml:space="preserve"> </w:t>
      </w:r>
      <w:r>
        <w:t xml:space="preserve">2014; Rodríguez-Álvarez</w:t>
      </w:r>
      <w:r>
        <w:t xml:space="preserve"> </w:t>
      </w:r>
      <w:r>
        <w:rPr>
          <w:iCs/>
          <w:i/>
        </w:rPr>
        <w:t xml:space="preserve">et al.</w:t>
      </w:r>
      <w:r>
        <w:t xml:space="preserve"> </w:t>
      </w:r>
      <w:r>
        <w:t xml:space="preserve">2018)</w:t>
      </w:r>
      <w:r>
        <w:t xml:space="preserve">, much less is known about the relevance of neighboring genotypes to spatial variation in crop disease infection.</w:t>
      </w:r>
    </w:p>
    <w:p>
      <w:pPr>
        <w:pStyle w:val="BodyText"/>
      </w:pPr>
      <w:r>
        <w:t xml:space="preserve">To analyze the influence of neighboring genotypes on individual traits, we have recently developed a new method of GWAS, called</w:t>
      </w:r>
      <w:r>
        <w:t xml:space="preserve"> </w:t>
      </w:r>
      <w:r>
        <w:t xml:space="preserve">“</w:t>
      </w:r>
      <w:r>
        <w:t xml:space="preserve">Neighbor GWAS</w:t>
      </w:r>
      <w:r>
        <w:t xml:space="preserve">”</w:t>
      </w:r>
      <w:r>
        <w:t xml:space="preserve"> </w:t>
      </w:r>
      <w:r>
        <w:t xml:space="preserve">(Sato</w:t>
      </w:r>
      <w:r>
        <w:t xml:space="preserve"> </w:t>
      </w:r>
      <w:r>
        <w:rPr>
          <w:iCs/>
          <w:i/>
        </w:rPr>
        <w:t xml:space="preserve">et al.</w:t>
      </w:r>
      <w:r>
        <w:t xml:space="preserve"> </w:t>
      </w:r>
      <w:r>
        <w:t xml:space="preserve">2021)</w:t>
      </w:r>
      <w:r>
        <w:t xml:space="preserve">. Inspired by the Ising model of magnetics, the Neighbor GWAS method expands a standard mixed model to incorporate locus-wise interactions among neighboring genotypes. Owing to its locus-wise modelling, the Neighbor GWAS method can be applied to any randomized cultivation of multiple varieties. As such a randomized block design has often been adopted in GWAS experiments (e.g., x, y, and z), the Neighbor GWAS method possesses wide applicability to any plant GWASs. For instance, our previous study demonstrated the power of Neighbor GWAS to predict key genotype pairs that mitigated insect herbivory in</w:t>
      </w:r>
      <w:r>
        <w:t xml:space="preserve"> </w:t>
      </w:r>
      <w:r>
        <w:rPr>
          <w:iCs/>
          <w:i/>
        </w:rPr>
        <w:t xml:space="preserve">Arabidopsis thaliana</w:t>
      </w:r>
      <w:r>
        <w:t xml:space="preserve">. Although this workflow may also be applied to agricultural data, there are few applications of Neighbor GWAS to crop data.</w:t>
      </w:r>
    </w:p>
    <w:p>
      <w:pPr>
        <w:pStyle w:val="BodyText"/>
      </w:pPr>
      <w:r>
        <w:t xml:space="preserve">In this study, we investigated spatial heterogeneity of disease infection, such as net blotch and scaled, in barley. Specifically, we aimed to address the following questions: (i) Was the significant fraction of disease infection explained by any spatial process? (ii) To what extent was the spatial variation explained by neighboring genotypic identity? (iii) Were there any significant QTL responsible for the neighbor genotypic effects on disease infection? To address these questions, we applied two methods of quantitative genetics, SpATS and Neighbor GWAS, for publicly available data deposited by the CIMMYT Australia ICARDA Germplasm Evaluation (CAIGE) project.</w:t>
      </w:r>
    </w:p>
    <w:bookmarkEnd w:id="22"/>
    <w:bookmarkStart w:id="31"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BEAGLE3</w:t>
      </w:r>
      <w:r>
        <w:t xml:space="preserve"> </w:t>
      </w:r>
      <w:r>
        <w:t xml:space="preserve">(Ayres</w:t>
      </w:r>
      <w:r>
        <w:t xml:space="preserve"> </w:t>
      </w:r>
      <w:r>
        <w:rPr>
          <w:iCs/>
          <w:i/>
        </w:rPr>
        <w:t xml:space="preserve">et al.</w:t>
      </w:r>
      <w:r>
        <w:t xml:space="preserve"> </w:t>
      </w:r>
      <w:r>
        <w:t xml:space="preserve">2019)</w:t>
      </w:r>
      <w:r>
        <w:t xml:space="preserve"> </w:t>
      </w:r>
      <w:r>
        <w:t xml:space="preserve">after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are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Each phenotype includes approximately 25,000 SNP markers and 500 individuals with 480 genotypes.</w:t>
      </w:r>
      <w:r>
        <w:t xml:space="preserve"> </w:t>
      </w:r>
      <w:r>
        <w:t xml:space="preserve">Details on sample sizes are summarized as a supplementary table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To determine the upper limit of phenotypic variation attributable to spatial process, we used the Spatial Analysis of Field Trials with Splines (SpATS)</w:t>
      </w:r>
      <w:r>
        <w:t xml:space="preserve"> </w:t>
      </w:r>
      <w:r>
        <w:t xml:space="preserve">(Rodríguez-Álvarez</w:t>
      </w:r>
      <w:r>
        <w:t xml:space="preserve"> </w:t>
      </w:r>
      <w:r>
        <w:rPr>
          <w:iCs/>
          <w:i/>
        </w:rPr>
        <w:t xml:space="preserve">et al.</w:t>
      </w:r>
      <w:r>
        <w:t xml:space="preserve"> </w:t>
      </w:r>
      <w:r>
        <w:t xml:space="preserve">2018)</w:t>
      </w:r>
      <w:r>
        <w:t xml:space="preserve">.</w:t>
      </w:r>
      <w:r>
        <w:t xml:space="preserve"> </w:t>
      </w:r>
      <w:r>
        <w:t xml:space="preserve">Using P-spline, this method quantifies a fraction of phenotypic variation attributable to any spatial process.</w:t>
      </w:r>
      <w:r>
        <w:t xml:space="preserve"> </w:t>
      </w:r>
      <w:r>
        <w:t xml:space="preserve">SpATS also quantified broad-sense heritability explained by plant’s own genotypic effects.</w:t>
      </w:r>
    </w:p>
    <w:p>
      <w:pPr>
        <w:pStyle w:val="BodyText"/>
      </w:pPr>
      <w:r>
        <w:t xml:space="preserve">Describe the SpATS methods:</w:t>
      </w:r>
      <w:r>
        <w:t xml:space="preserve"> </w:t>
      </w:r>
      <w:r>
        <w:t xml:space="preserve">- response variable</w:t>
      </w:r>
      <w:r>
        <w:br/>
      </w:r>
      <w:r>
        <w:t xml:space="preserve">- covariates</w:t>
      </w:r>
      <w:r>
        <w:br/>
      </w:r>
      <w:r>
        <w:t xml:space="preserve">- random and fixed effects</w:t>
      </w:r>
      <w:r>
        <w:t xml:space="preserve"> </w:t>
      </w:r>
      <w:r>
        <w:t xml:space="preserve">- and other modified parameters</w:t>
      </w:r>
    </w:p>
    <w:p>
      <w:pPr>
        <w:pStyle w:val="BodyText"/>
      </w:pPr>
      <w:r>
        <w:t xml:space="preserve">For this line of spatial genetic analyses, we used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x.x.x (R Core Team 2024).</w:t>
      </w:r>
      <w:r>
        <w:t xml:space="preserve"> </w:t>
      </w:r>
      <w:r>
        <w:t xml:space="preserve">We determined the statistical significance at</w:t>
      </w:r>
      <w:r>
        <w:t xml:space="preserve"> </w:t>
      </w:r>
      <m:oMath>
        <m:r>
          <m:t>p</m:t>
        </m:r>
      </m:oMath>
      <w:r>
        <w:t xml:space="preserve"> </w:t>
      </w:r>
      <w:r>
        <w:t xml:space="preserve">= 0.05 and the marginal significance between</w:t>
      </w:r>
      <w:r>
        <w:t xml:space="preserve"> </w:t>
      </w:r>
      <m:oMath>
        <m:r>
          <m:t>p</m:t>
        </m:r>
      </m:oMath>
      <w:r>
        <w:t xml:space="preserve"> </w:t>
      </w:r>
      <w:r>
        <w:t xml:space="preserve">= 0.05 and 0.1 throughout the present study.</w:t>
      </w:r>
    </w:p>
    <w:bookmarkEnd w:id="25"/>
    <w:bookmarkStart w:id="30" w:name="neighbor-gwas"/>
    <w:p>
      <w:pPr>
        <w:pStyle w:val="Heading2"/>
      </w:pPr>
      <w:r>
        <w:t xml:space="preserve">Neighbor GWAS</w:t>
      </w:r>
    </w:p>
    <w:bookmarkStart w:id="27"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vice versa) of neighboring genotypes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r>
            <m:t> </m:t>
          </m:r>
          <m:r>
            <m:t> </m:t>
          </m:r>
          <m:r>
            <m:t> </m:t>
          </m:r>
          <m:r>
            <m:t> </m:t>
          </m:r>
          <m:r>
            <m:t> </m:t>
          </m:r>
          <m:r>
            <m:rPr>
              <m:nor/>
              <m:sty m:val="p"/>
            </m:rPr>
            <m:t>Eq. 1</m:t>
          </m:r>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r>
        <w:t xml:space="preserve"> </w:t>
      </w:r>
      <w:r>
        <w:t xml:space="preserve">For the two fixed effects</w:t>
      </w:r>
      <w:r>
        <w:t xml:space="preserve"> </w:t>
      </w:r>
      <m:oMath>
        <m:sSub>
          <m:e>
            <m:r>
              <m:t>β</m:t>
            </m:r>
          </m:e>
          <m:sub>
            <m:r>
              <m:t>1</m:t>
            </m:r>
          </m:sub>
        </m:sSub>
      </m:oMath>
      <w:r>
        <w:t xml:space="preserve"> </w:t>
      </w:r>
      <w:r>
        <w:t xml:space="preserve">and</w:t>
      </w:r>
      <w:r>
        <w:t xml:space="preserve"> </w:t>
      </w:r>
      <m:oMath>
        <m:sSub>
          <m:e>
            <m:r>
              <m:t>β</m:t>
            </m:r>
          </m:e>
          <m:sub>
            <m:r>
              <m:t>2</m:t>
            </m:r>
          </m:sub>
        </m:sSub>
      </m:oMath>
      <w:r>
        <w:t xml:space="preserve">, plant’s own genotypic values</w:t>
      </w:r>
      <w:r>
        <w:t xml:space="preserve"> </w:t>
      </w:r>
      <m:oMath>
        <m:sSub>
          <m:e>
            <m:r>
              <m:t>x</m:t>
            </m:r>
          </m:e>
          <m:sub>
            <m:r>
              <m:t>i</m:t>
            </m:r>
          </m:sub>
        </m:sSub>
      </m:oMath>
      <w:r>
        <w:t xml:space="preserve"> </w:t>
      </w:r>
      <w:r>
        <w:t xml:space="preserve">are converted as -1, 0, and +1 for one homozygote, heterozygote, and another homozygote.</w:t>
      </w:r>
      <w:r>
        <w:t xml:space="preserve"> </w:t>
      </w:r>
      <w:r>
        <w:t xml:space="preserve">Accordingly, the mean allelic identity between the focal and neighboring plants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r>
          <m:t>J</m:t>
        </m:r>
      </m:oMath>
      <w:r>
        <w:t xml:space="preserve"> </w:t>
      </w:r>
      <w:r>
        <w:t xml:space="preserve">takes from -1 (dissimilar) to +1 (similar), in which the sign of</w:t>
      </w:r>
      <w:r>
        <w:t xml:space="preserve"> </w:t>
      </w:r>
      <m:oMath>
        <m:sSub>
          <m:e>
            <m:r>
              <m:t>β</m:t>
            </m:r>
          </m:e>
          <m:sub>
            <m:r>
              <m:t>2</m:t>
            </m:r>
          </m:sub>
        </m:sSub>
      </m:oMath>
      <w:r>
        <w:t xml:space="preserve"> </w:t>
      </w:r>
      <w:r>
        <w:t xml:space="preserve">corresponded to negative or positive effects of allelic identity on a focal plant’s phenotype</w:t>
      </w:r>
      <w:r>
        <w:t xml:space="preserve"> </w:t>
      </w:r>
      <m:oMath>
        <m:sSub>
          <m:e>
            <m:r>
              <m:t>y</m:t>
            </m:r>
          </m:e>
          <m:sub>
            <m:r>
              <m:t>i</m:t>
            </m:r>
          </m:sub>
        </m:sSub>
      </m:oMath>
      <w:r>
        <w:t xml:space="preserve">.</w:t>
      </w:r>
      <w:r>
        <w:t xml:space="preserve"> </w:t>
      </w:r>
      <w:r>
        <w:t xml:space="preserve">Therefore, statistical tests of</w:t>
      </w:r>
      <w:r>
        <w:t xml:space="preserve"> </w:t>
      </w:r>
      <m:oMath>
        <m:sSub>
          <m:e>
            <m:r>
              <m:t>β</m:t>
            </m:r>
          </m:e>
          <m:sub>
            <m:r>
              <m:t>2</m:t>
            </m:r>
          </m:sub>
        </m:sSub>
      </m:oMath>
      <w:r>
        <w:t xml:space="preserve"> </w:t>
      </w:r>
      <w:r>
        <w:t xml:space="preserve">and its estimates enable GWAS with the inference for the positive or negative allelic interactions among neighboring plants.</w:t>
      </w:r>
      <w:r>
        <w:t xml:space="preserve"> </w:t>
      </w:r>
      <w:r>
        <w:t xml:space="preserve">For the random effects</w:t>
      </w:r>
      <w:r>
        <w:t xml:space="preserve"> </w:t>
      </w:r>
      <m:oMath>
        <m:sSub>
          <m:e>
            <m:r>
              <m:t>u</m:t>
            </m:r>
          </m:e>
          <m:sub>
            <m:r>
              <m:t>i</m:t>
            </m:r>
          </m:sub>
        </m:sSub>
      </m:oMath>
      <w:r>
        <w:t xml:space="preserve">, two variance-covariance matrices related to plant’s own and neighboring genotypes are considered as</w:t>
      </w:r>
    </w:p>
    <w:p>
      <w:pPr>
        <w:pStyle w:val="BodyText"/>
      </w:pPr>
      <m:oMathPara>
        <m:oMathParaPr>
          <m:jc m:val="center"/>
        </m:oMathParaPr>
        <m:oMath>
          <m:sSub>
            <m:e>
              <m:r>
                <m:t>u</m:t>
              </m:r>
            </m:e>
            <m:sub>
              <m:r>
                <m:t>i</m:t>
              </m:r>
            </m:sub>
          </m:sSub>
          <m:r>
            <m:rPr>
              <m:sty m:val="p"/>
            </m:rPr>
            <m:t>∼</m:t>
          </m:r>
          <m:r>
            <m:rPr>
              <m:nor/>
              <m:sty m:val="p"/>
            </m:rPr>
            <m:t>Norm</m:t>
          </m:r>
          <m:d>
            <m:dPr>
              <m:begChr m:val="("/>
              <m:endChr m:val=")"/>
              <m:sepChr m:val=""/>
              <m:grow/>
            </m:dPr>
            <m:e>
              <m:r>
                <m:t>0</m:t>
              </m:r>
              <m:r>
                <m:rPr>
                  <m:sty m:val="p"/>
                </m:rPr>
                <m:t>,</m:t>
              </m:r>
              <m:sSubSup>
                <m:e>
                  <m:r>
                    <m:t>σ</m:t>
                  </m:r>
                </m:e>
                <m:sub>
                  <m:r>
                    <m:t>1</m:t>
                  </m:r>
                </m:sub>
                <m:sup>
                  <m:r>
                    <m:t>2</m:t>
                  </m:r>
                </m:sup>
              </m:sSubSup>
              <m:sSub>
                <m:e>
                  <m:r>
                    <m:rPr>
                      <m:sty m:val="b"/>
                    </m:rPr>
                    <m:t>K</m:t>
                  </m:r>
                </m:e>
                <m:sub>
                  <m:r>
                    <m:rPr>
                      <m:sty m:val="b"/>
                    </m:rPr>
                    <m:t>1</m:t>
                  </m:r>
                </m:sub>
              </m:sSub>
              <m:r>
                <m:rPr>
                  <m:sty m:val="p"/>
                </m:rPr>
                <m:t>+</m:t>
              </m:r>
              <m:sSubSup>
                <m:e>
                  <m:r>
                    <m:t>σ</m:t>
                  </m:r>
                </m:e>
                <m:sub>
                  <m:r>
                    <m:t>2</m:t>
                  </m:r>
                </m:sub>
                <m:sup>
                  <m:r>
                    <m:t>2</m:t>
                  </m:r>
                </m:sup>
              </m:sSubSup>
              <m:sSub>
                <m:e>
                  <m:r>
                    <m:rPr>
                      <m:sty m:val="b"/>
                    </m:rPr>
                    <m:t>K</m:t>
                  </m:r>
                </m:e>
                <m:sub>
                  <m:r>
                    <m:rPr>
                      <m:sty m:val="b"/>
                    </m:rPr>
                    <m:t>2</m:t>
                  </m:r>
                </m:sub>
              </m:sSub>
            </m:e>
          </m:d>
          <m:r>
            <m:t> </m:t>
          </m:r>
          <m:r>
            <m:t> </m:t>
          </m:r>
          <m:r>
            <m:t> </m:t>
          </m:r>
          <m:r>
            <m:t> </m:t>
          </m:r>
          <m:r>
            <m:t> </m:t>
          </m:r>
          <m:r>
            <m:rPr>
              <m:nor/>
              <m:sty m:val="p"/>
            </m:rPr>
            <m:t>Eq. 2</m:t>
          </m:r>
        </m:oMath>
      </m:oMathPara>
    </w:p>
    <w:p>
      <w:pPr>
        <w:pStyle w:val="FirstParagraph"/>
      </w:pPr>
      <w:r>
        <w:t xml:space="preserve">where a tilde means</w:t>
      </w:r>
      <w:r>
        <w:t xml:space="preserve"> </w:t>
      </w:r>
      <w:r>
        <w:t xml:space="preserve">‘</w:t>
      </w:r>
      <w:r>
        <w:t xml:space="preserve">distributed as</w:t>
      </w:r>
      <w:r>
        <w:t xml:space="preserve">’</w:t>
      </w:r>
      <w:r>
        <w:t xml:space="preserve">. The two variance component parameters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respectively represents polygenic effects of plant’s own and neighboring genotypes on a phenotype</w:t>
      </w:r>
      <w:r>
        <w:t xml:space="preserve"> </w:t>
      </w:r>
      <m:oMath>
        <m:sSub>
          <m:e>
            <m:r>
              <m:t>y</m:t>
            </m:r>
          </m:e>
          <m:sub>
            <m:r>
              <m:t>i</m:t>
            </m:r>
          </m:sub>
        </m:sSub>
      </m:oMath>
      <w:r>
        <w:t xml:space="preserve">, in which</w:t>
      </w:r>
      <w:r>
        <w:t xml:space="preserve"> </w:t>
      </w:r>
      <m:oMath>
        <m:sSub>
          <m:e>
            <m:r>
              <m:rPr>
                <m:sty m:val="b"/>
              </m:rPr>
              <m:t>K</m:t>
            </m:r>
          </m:e>
          <m:sub>
            <m:r>
              <m:rPr>
                <m:sty m:val="b"/>
              </m:rPr>
              <m:t>1</m:t>
            </m:r>
          </m:sub>
        </m:sSub>
      </m:oMath>
      <w:r>
        <w:t xml:space="preserve"> </w:t>
      </w:r>
      <w:r>
        <w:t xml:space="preserve">is a kinship matrix and</w:t>
      </w:r>
      <w:r>
        <w:t xml:space="preserve"> </w:t>
      </w:r>
      <m:oMath>
        <m:sSub>
          <m:e>
            <m:r>
              <m:rPr>
                <m:sty m:val="b"/>
              </m:rPr>
              <m:t>K</m:t>
            </m:r>
          </m:e>
          <m:sub>
            <m:r>
              <m:rPr>
                <m:sty m:val="b"/>
              </m:rPr>
              <m:t>2</m:t>
            </m:r>
          </m:sub>
        </m:sSub>
      </m:oMath>
      <w:r>
        <w:t xml:space="preserve"> </w:t>
      </w:r>
      <w:r>
        <w:t xml:space="preserve">represents neighbor genotypic similarity across a field (see Appendix S1).</w:t>
      </w:r>
      <w:r>
        <w:t xml:space="preserve"> </w:t>
      </w:r>
      <w:r>
        <w:t xml:space="preserve">The rest unexplained variation, i.e., residual, follows a normal distribution as</w:t>
      </w:r>
      <w:r>
        <w:t xml:space="preserve"> </w:t>
      </w:r>
      <m:oMath>
        <m:sSub>
          <m:e>
            <m:r>
              <m:t>e</m:t>
            </m:r>
          </m:e>
          <m:sub>
            <m:r>
              <m:t>i</m:t>
            </m:r>
          </m:sub>
        </m:sSub>
        <m:r>
          <m:rPr>
            <m:sty m:val="p"/>
          </m:rPr>
          <m:t>∼</m:t>
        </m:r>
        <m:r>
          <m:rPr>
            <m:nor/>
            <m:sty m:val="p"/>
          </m:rPr>
          <m:t>Norm</m:t>
        </m:r>
        <m:d>
          <m:dPr>
            <m:begChr m:val="("/>
            <m:endChr m:val=")"/>
            <m:sepChr m:val=""/>
            <m:grow/>
          </m:dPr>
          <m:e>
            <m:r>
              <m:t>0</m:t>
            </m:r>
            <m:r>
              <m:rPr>
                <m:sty m:val="p"/>
              </m:rPr>
              <m:t>,</m:t>
            </m:r>
            <m:sSubSup>
              <m:e>
                <m:r>
                  <m:t>σ</m:t>
                </m:r>
              </m:e>
              <m:sub>
                <m:r>
                  <m:t>e</m:t>
                </m:r>
              </m:sub>
              <m:sup>
                <m:r>
                  <m:t>2</m:t>
                </m:r>
              </m:sup>
            </m:sSubSup>
            <m:r>
              <m:rPr>
                <m:sty m:val="b"/>
              </m:rPr>
              <m:t>I</m:t>
            </m:r>
          </m:e>
        </m:d>
      </m:oMath>
      <w:r>
        <w:t xml:space="preserve">.</w:t>
      </w:r>
      <w:r>
        <w:t xml:space="preserve"> </w:t>
      </w:r>
      <w:r>
        <w:t xml:space="preserve">Net phenotypic variation explained (PVE) by neighboring genotypes can be quantified as PVE =</w:t>
      </w:r>
      <w:r>
        <w:t xml:space="preserve"> </w:t>
      </w:r>
      <m:oMath>
        <m:d>
          <m:dPr>
            <m:begChr m:val="["/>
            <m:endChr m:val="]"/>
            <m:sepChr m:val=""/>
            <m:grow/>
          </m:dPr>
          <m:e>
            <m:d>
              <m:dPr>
                <m:begChr m:val="("/>
                <m:endChr m:val=")"/>
                <m:sepChr m:val=""/>
                <m:grow/>
              </m:dPr>
              <m:e>
                <m:sSubSup>
                  <m:e>
                    <m:r>
                      <m:t>σ</m:t>
                    </m:r>
                  </m:e>
                  <m:sub>
                    <m:r>
                      <m:t>1</m:t>
                    </m:r>
                  </m:sub>
                  <m:sup>
                    <m:r>
                      <m:t>2</m:t>
                    </m:r>
                  </m:sup>
                </m:sSubSup>
                <m:r>
                  <m:rPr>
                    <m:sty m:val="p"/>
                  </m:rPr>
                  <m:t>+</m:t>
                </m:r>
                <m:sSubSup>
                  <m:e>
                    <m:r>
                      <m:t>σ</m:t>
                    </m:r>
                  </m:e>
                  <m:sub>
                    <m:r>
                      <m:t>2</m:t>
                    </m:r>
                  </m:sub>
                  <m:sup>
                    <m:r>
                      <m:t>2</m:t>
                    </m:r>
                  </m:sup>
                </m:sSubSup>
              </m:e>
            </m:d>
            <m:r>
              <m:rPr>
                <m:sty m:val="p"/>
              </m:rPr>
              <m:t>/</m:t>
            </m:r>
            <m:d>
              <m:dPr>
                <m:begChr m:val="("/>
                <m:endChr m:val=")"/>
                <m:sepChr m:val=""/>
                <m:grow/>
              </m:dPr>
              <m:e>
                <m:sSubSup>
                  <m:e>
                    <m:r>
                      <m:t>σ</m:t>
                    </m:r>
                  </m:e>
                  <m:sub>
                    <m:r>
                      <m:t>1</m:t>
                    </m:r>
                  </m:sub>
                  <m:sup>
                    <m:r>
                      <m:t>2</m:t>
                    </m:r>
                  </m:sup>
                </m:sSubSup>
                <m:r>
                  <m:rPr>
                    <m:sty m:val="p"/>
                  </m:rPr>
                  <m:t>+</m:t>
                </m:r>
                <m:sSubSup>
                  <m:e>
                    <m:r>
                      <m:t>σ</m:t>
                    </m:r>
                  </m:e>
                  <m:sub>
                    <m:r>
                      <m:t>2</m:t>
                    </m:r>
                  </m:sub>
                  <m:sup>
                    <m:r>
                      <m:t>2</m:t>
                    </m:r>
                  </m:sup>
                </m:sSubSup>
                <m:r>
                  <m:rPr>
                    <m:sty m:val="p"/>
                  </m:rPr>
                  <m:t>+</m:t>
                </m:r>
                <m:sSubSup>
                  <m:e>
                    <m:r>
                      <m:t>σ</m:t>
                    </m:r>
                  </m:e>
                  <m:sub>
                    <m:r>
                      <m:t>e</m:t>
                    </m:r>
                  </m:sub>
                  <m:sup>
                    <m:r>
                      <m:t>2</m:t>
                    </m:r>
                  </m:sup>
                </m:sSubSup>
              </m:e>
            </m:d>
          </m:e>
        </m:d>
        <m:r>
          <m:rPr>
            <m:sty m:val="p"/>
          </m:rPr>
          <m:t>−</m:t>
        </m:r>
        <m:sSup>
          <m:e>
            <m:r>
              <m:t>h</m:t>
            </m:r>
          </m:e>
          <m:sup>
            <m:r>
              <m:t>2</m:t>
            </m:r>
          </m:sup>
        </m:sSup>
      </m:oMath>
      <w:r>
        <w:t xml:space="preserve">, where</w:t>
      </w:r>
      <w:r>
        <w:t xml:space="preserve"> </w:t>
      </w:r>
      <m:oMath>
        <m:sSup>
          <m:e>
            <m:r>
              <m:t>h</m:t>
            </m:r>
          </m:e>
          <m:sup>
            <m:r>
              <m:t>2</m:t>
            </m:r>
          </m:sup>
        </m:sSup>
      </m:oMath>
      <w:r>
        <w:t xml:space="preserve"> </w:t>
      </w:r>
      <w:r>
        <w:t xml:space="preserve">is a SNP heritability quantified by a standard GWAS model.</w:t>
      </w:r>
      <w:r>
        <w:t xml:space="preserve"> </w:t>
      </w:r>
      <w:r>
        <w:t xml:space="preserve">In short, variation partitioning can be performed by estimating two variance components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All the relevant methods of Neighbor GWAS are implemented as the rNeighbor GWAS package v1.2.4 (</w:t>
      </w:r>
      <w:hyperlink r:id="rId26">
        <w:r>
          <w:rPr>
            <w:rStyle w:val="Hyperlink"/>
          </w:rPr>
          <w:t xml:space="preserve">https://doi.org/10.32614/CRAN.package.rNeighborGWAS</w:t>
        </w:r>
      </w:hyperlink>
      <w:r>
        <w:t xml:space="preserve">), which depends on the gaston package</w:t>
      </w:r>
      <w:r>
        <w:t xml:space="preserve"> </w:t>
      </w:r>
      <w:r>
        <w:t xml:space="preserve">(Perdry and Dandine-Roulland 2022)</w:t>
      </w:r>
      <w:r>
        <w:t xml:space="preserve"> </w:t>
      </w:r>
      <w:r>
        <w:t xml:space="preserve">and uses its lmm.aireml and lmm.diago functions to solve mixed models and perform GWAS, respectively.</w:t>
      </w:r>
      <w:r>
        <w:t xml:space="preserve"> </w:t>
      </w:r>
      <w:r>
        <w:t xml:space="preserve">Theoretical details are described in</w:t>
      </w:r>
      <w:r>
        <w:t xml:space="preserve"> </w:t>
      </w:r>
      <w:r>
        <w:t xml:space="preserve">Sato</w:t>
      </w:r>
      <w:r>
        <w:t xml:space="preserve"> </w:t>
      </w:r>
      <w:r>
        <w:rPr>
          <w:iCs/>
          <w:i/>
        </w:rPr>
        <w:t xml:space="preserve">et al.</w:t>
      </w:r>
      <w:r>
        <w:t xml:space="preserve"> </w:t>
      </w:r>
      <w:r>
        <w:t xml:space="preserve">(2021)</w:t>
      </w:r>
      <w:r>
        <w:t xml:space="preserve">.</w:t>
      </w:r>
    </w:p>
    <w:bookmarkEnd w:id="27"/>
    <w:bookmarkStart w:id="28" w:name="Xd5c3e63853e5637da2571a35f2e1f96aa16f0b0"/>
    <w:p>
      <w:pPr>
        <w:pStyle w:val="Heading3"/>
      </w:pPr>
      <w:r>
        <w:t xml:space="preserve">Phenotypic variation explained by neighbor genotypes</w:t>
      </w:r>
    </w:p>
    <w:p>
      <w:pPr>
        <w:pStyle w:val="FirstParagraph"/>
      </w:pPr>
      <w:r>
        <w:t xml:space="preserve">To examine how largely spatial variation can be explained by neighboring genotypes, we used the Neighbor GWAS package to quantify variance components in Eq. X.</w:t>
      </w:r>
      <w:r>
        <w:t xml:space="preserve"> </w:t>
      </w:r>
      <w:r>
        <w:t xml:space="preserve">We examined two cut-off thresholds of minor allele frequency (MAF) at 5% or 1%, leaving approx. 20,578 and 14,568 SNPs, respectively (Table 1).</w:t>
      </w:r>
      <w:r>
        <w:t xml:space="preserve"> </w:t>
      </w:r>
      <w:r>
        <w:t xml:space="preserve">The former cut-off percentage is often adopted in plant GWAS</w:t>
      </w:r>
      <w:r>
        <w:t xml:space="preserve"> </w:t>
      </w:r>
      <w:r>
        <w:t xml:space="preserve">(Tibbs Cortes</w:t>
      </w:r>
      <w:r>
        <w:t xml:space="preserve"> </w:t>
      </w:r>
      <w:r>
        <w:rPr>
          <w:iCs/>
          <w:i/>
        </w:rPr>
        <w:t xml:space="preserve">et al.</w:t>
      </w:r>
      <w:r>
        <w:t xml:space="preserve"> </w:t>
      </w:r>
      <w:r>
        <w:t xml:space="preserve">2021)</w:t>
      </w:r>
      <w:r>
        <w:t xml:space="preserve"> </w:t>
      </w:r>
      <w:r>
        <w:t xml:space="preserve">while the latter includes relatively rare but sometimes meaningful variants</w:t>
      </w:r>
      <w:r>
        <w:t xml:space="preserve"> </w:t>
      </w:r>
      <w:r>
        <w:t xml:space="preserve">(Tibbs Cortes</w:t>
      </w:r>
      <w:r>
        <w:t xml:space="preserve"> </w:t>
      </w:r>
      <w:r>
        <w:rPr>
          <w:iCs/>
          <w:i/>
        </w:rPr>
        <w:t xml:space="preserve">et al.</w:t>
      </w:r>
      <w:r>
        <w:t xml:space="preserve"> </w:t>
      </w:r>
      <w:r>
        <w:t xml:space="preserve">2021; Xu</w:t>
      </w:r>
      <w:r>
        <w:t xml:space="preserve"> </w:t>
      </w:r>
      <w:r>
        <w:rPr>
          <w:iCs/>
          <w:i/>
        </w:rPr>
        <w:t xml:space="preserve">et al.</w:t>
      </w:r>
      <w:r>
        <w:t xml:space="preserve"> </w:t>
      </w:r>
      <w:r>
        <w:t xml:space="preserve">2023)</w:t>
      </w:r>
      <w:r>
        <w:t xml:space="preserve">.</w:t>
      </w:r>
      <w:r>
        <w:t xml:space="preserve"> </w:t>
      </w:r>
      <w:r>
        <w:t xml:space="preserve">The damage severity score (from 0 to</w:t>
      </w:r>
      <w:r>
        <w:t xml:space="preserve"> </w:t>
      </w:r>
      <w:r>
        <w:rPr>
          <w:bCs/>
          <w:b/>
        </w:rPr>
        <w:t xml:space="preserve">X</w:t>
      </w:r>
      <w:r>
        <w:t xml:space="preserve">) of three disease symptoms were separately analyzed as a target phenotype: net form net blotch, spot form net blotch, and scald.</w:t>
      </w:r>
      <w:r>
        <w:t xml:space="preserve"> </w:t>
      </w:r>
      <w:r>
        <w:t xml:space="preserve">The end-point damage score was used as a representative phenotype for each year.</w:t>
      </w:r>
      <w:r>
        <w:t xml:space="preserve"> </w:t>
      </w:r>
      <w:r>
        <w:t xml:space="preserve">Non-genetic covariates were also considered for the differences of the three study years (2015, 2016, and 2017) and spatial positions (rows and ranges) of field plots.</w:t>
      </w:r>
      <w:r>
        <w:t xml:space="preserve"> </w:t>
      </w:r>
      <w:r>
        <w:t xml:space="preserve">Along the rows and ranges, SpATS analysis detected the non-linear spatial trends of disease phenotypic values among field plots (see Results below); therefore, the first to forth polynomials were considered for the non-genetic covariates of rows and ranges to correct for the non-linear spatial patterns.</w:t>
      </w:r>
      <w:r>
        <w:t xml:space="preserve"> </w:t>
      </w:r>
      <w:r>
        <w:t xml:space="preserve">Regarding the spatial range to be referred, we analyzed up to the fourth nearest neighbors in a field, which corresponds up to 4.2 Euclidean distance from focal plants.</w:t>
      </w:r>
      <w:r>
        <w:t xml:space="preserve"> </w:t>
      </w:r>
      <w:r>
        <w:t xml:space="preserve">This is because, when spatial range is too broad, plant’s own genotypic value</w:t>
      </w:r>
      <w:r>
        <w:t xml:space="preserve"> </w:t>
      </w:r>
      <m:oMath>
        <m:sSub>
          <m:e>
            <m:r>
              <m:t>x</m:t>
            </m:r>
          </m:e>
          <m:sub>
            <m:r>
              <m:t>i</m:t>
            </m:r>
          </m:sub>
        </m:sSub>
      </m:oMath>
      <w:r>
        <w:t xml:space="preserve"> </w:t>
      </w:r>
      <w:r>
        <w:t xml:space="preserve">and neighbor genotypic values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r>
              <m:rPr>
                <m:sty m:val="p"/>
              </m:rPr>
              <m:t>/</m:t>
            </m:r>
            <m:r>
              <m:t>J</m:t>
            </m:r>
          </m:e>
        </m:nary>
      </m:oMath>
      <w:r>
        <w:t xml:space="preserve"> </w:t>
      </w:r>
      <w:r>
        <w:t xml:space="preserve">have a severe co-linearity</w:t>
      </w:r>
      <w:r>
        <w:t xml:space="preserve"> </w:t>
      </w:r>
      <w:r>
        <w:t xml:space="preserve">(Sato</w:t>
      </w:r>
      <w:r>
        <w:t xml:space="preserve"> </w:t>
      </w:r>
      <w:r>
        <w:rPr>
          <w:iCs/>
          <w:i/>
        </w:rPr>
        <w:t xml:space="preserve">et al.</w:t>
      </w:r>
      <w:r>
        <w:t xml:space="preserve"> </w:t>
      </w:r>
      <w:r>
        <w:t xml:space="preserve">2021, 2024)</w:t>
      </w:r>
      <w:r>
        <w:t xml:space="preserve">.</w:t>
      </w:r>
      <w:r>
        <w:br/>
      </w:r>
      <w:r>
        <w:t xml:space="preserve">To address such a co-linearity, likelihood ratio tests were performed for eq.</w:t>
      </w:r>
      <w:r>
        <w:t xml:space="preserve"> </w:t>
      </w:r>
      <w:r>
        <w:rPr>
          <w:bCs/>
          <w:b/>
        </w:rPr>
        <w:t xml:space="preserve">x</w:t>
      </w:r>
      <w:r>
        <w:t xml:space="preserve"> </w:t>
      </w:r>
      <w:r>
        <w:t xml:space="preserve">and eq.</w:t>
      </w:r>
      <w:r>
        <w:t xml:space="preserve"> </w:t>
      </w:r>
      <w:r>
        <w:rPr>
          <w:bCs/>
          <w:b/>
        </w:rPr>
        <w:t xml:space="preserve">y</w:t>
      </w:r>
      <w:r>
        <w:t xml:space="preserve"> </w:t>
      </w:r>
      <w:r>
        <w:t xml:space="preserve">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8"/>
    <w:bookmarkStart w:id="29"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r>
        <w:t xml:space="preserve"> </w:t>
      </w:r>
      <w:r>
        <w:t xml:space="preserve">The target phenotype and non-genetic covariates were the same as the PVE analysis above.</w:t>
      </w:r>
      <w:r>
        <w:t xml:space="preserve"> </w:t>
      </w:r>
      <w:r>
        <w:t xml:space="preserve">Each SNP was tested after diagonalization on a weighted kinship matrix</w:t>
      </w:r>
      <w:r>
        <w:t xml:space="preserve"> </w:t>
      </w:r>
      <m:oMath>
        <m:r>
          <m:rPr>
            <m:sty m:val="b"/>
          </m:rPr>
          <m:t>K</m:t>
        </m:r>
        <m:r>
          <m:rPr>
            <m:sty m:val="b"/>
          </m:rPr>
          <m:t>′</m:t>
        </m:r>
        <m:r>
          <m:rPr>
            <m:sty m:val="p"/>
          </m:rPr>
          <m:t>=</m:t>
        </m:r>
        <m:sSubSup>
          <m:e>
            <m:acc>
              <m:accPr>
                <m:chr m:val="̂"/>
              </m:accPr>
              <m:e>
                <m:r>
                  <m:t>σ</m:t>
                </m:r>
              </m:e>
            </m:acc>
          </m:e>
          <m:sub>
            <m:r>
              <m:t>1</m:t>
            </m:r>
          </m:sub>
          <m:sup>
            <m:r>
              <m:t>2</m:t>
            </m:r>
          </m:sup>
        </m:sSubSup>
        <m:sSub>
          <m:e>
            <m:r>
              <m:rPr>
                <m:sty m:val="b"/>
              </m:rPr>
              <m:t>K</m:t>
            </m:r>
          </m:e>
          <m:sub>
            <m:r>
              <m:rPr>
                <m:sty m:val="b"/>
              </m:rPr>
              <m:t>1</m:t>
            </m:r>
          </m:sub>
        </m:sSub>
        <m:r>
          <m:rPr>
            <m:sty m:val="p"/>
          </m:rPr>
          <m:t>+</m:t>
        </m:r>
        <m:sSubSup>
          <m:e>
            <m:acc>
              <m:accPr>
                <m:chr m:val="̂"/>
              </m:accPr>
              <m:e>
                <m:r>
                  <m:t>σ</m:t>
                </m:r>
              </m:e>
            </m:acc>
          </m:e>
          <m:sub>
            <m:r>
              <m:t>2</m:t>
            </m:r>
          </m:sub>
          <m:sup>
            <m:r>
              <m:t>2</m:t>
            </m:r>
          </m:sup>
        </m:sSubSup>
        <m:sSub>
          <m:e>
            <m:r>
              <m:rPr>
                <m:sty m:val="b"/>
              </m:rPr>
              <m:t>K</m:t>
            </m:r>
          </m:e>
          <m:sub>
            <m:r>
              <m:rPr>
                <m:sty m:val="b"/>
              </m:rPr>
              <m:t>2</m:t>
            </m:r>
          </m:sub>
        </m:sSub>
      </m:oMath>
      <w:r>
        <w:t xml:space="preserve"> </w:t>
      </w:r>
      <w:r>
        <w:t xml:space="preserve">(see Sato</w:t>
      </w:r>
      <w:r>
        <w:t xml:space="preserve"> </w:t>
      </w:r>
      <w:r>
        <w:rPr>
          <w:iCs/>
          <w:i/>
        </w:rPr>
        <w:t xml:space="preserve">et al.</w:t>
      </w:r>
      <w:r>
        <w:t xml:space="preserve"> </w:t>
      </w:r>
      <w:r>
        <w:t xml:space="preserve">2021 for details)</w:t>
      </w:r>
      <w:r>
        <w:t xml:space="preserve">.</w:t>
      </w:r>
      <w:r>
        <w:t xml:space="preserve"> </w:t>
      </w:r>
      <w:r>
        <w:t xml:space="preserve">GWAS was repeated up to the spatial distance at 4.2 and separately performed for the three phenotypes, namely net form net blotch, spot form net blotch, and scald.</w:t>
      </w:r>
      <w:r>
        <w:t xml:space="preserve"> </w:t>
      </w:r>
      <w:r>
        <w:t xml:space="preserve">To test whether QTLs overlapped between plant’s own and neighbor genotypic effects, we also performed standard GWAS, which was a subset of the Neighbor GWAS model (Eq. 1 and 2) when</w:t>
      </w:r>
      <w:r>
        <w:t xml:space="preserve"> </w:t>
      </w:r>
      <m:oMath>
        <m:sSub>
          <m:e>
            <m:r>
              <m:t>β</m:t>
            </m:r>
          </m:e>
          <m:sub>
            <m:r>
              <m:t>2</m:t>
            </m:r>
          </m:sub>
        </m:sSub>
      </m:oMath>
      <w:r>
        <w:t xml:space="preserve"> </w:t>
      </w:r>
      <w:r>
        <w:t xml:space="preserve">and</w:t>
      </w:r>
      <w:r>
        <w:t xml:space="preserve"> </w:t>
      </w:r>
      <m:oMath>
        <m:sSubSup>
          <m:e>
            <m:r>
              <m:t>σ</m:t>
            </m:r>
          </m:e>
          <m:sub>
            <m:r>
              <m:t>2</m:t>
            </m:r>
          </m:sub>
          <m:sup>
            <m:r>
              <m:t>2</m:t>
            </m:r>
          </m:sup>
        </m:sSubSup>
      </m:oMath>
      <w:r>
        <w:t xml:space="preserve"> </w:t>
      </w:r>
      <w:r>
        <w:t xml:space="preserve">were set at 0.</w:t>
      </w:r>
      <w:r>
        <w:t xml:space="preserve"> </w:t>
      </w:r>
      <w:r>
        <w:t xml:space="preserve">The standard GWAS was also performed using Neighbor GWAS, which internally uses the gaston package of R</w:t>
      </w:r>
      <w:r>
        <w:t xml:space="preserve"> </w:t>
      </w:r>
      <w:r>
        <w:t xml:space="preserve">(Perdry and Dandine-Roulland 2022)</w:t>
      </w:r>
      <w:r>
        <w:t xml:space="preserve">.</w:t>
      </w:r>
    </w:p>
    <w:bookmarkEnd w:id="29"/>
    <w:bookmarkEnd w:id="30"/>
    <w:bookmarkEnd w:id="31"/>
    <w:bookmarkStart w:id="35" w:name="results"/>
    <w:p>
      <w:pPr>
        <w:pStyle w:val="Heading1"/>
      </w:pPr>
      <w:r>
        <w:t xml:space="preserve">Results</w:t>
      </w:r>
    </w:p>
    <w:bookmarkStart w:id="32" w:name="X576536956dd33d8c2a69307df5026af523ebb8d"/>
    <w:p>
      <w:pPr>
        <w:pStyle w:val="Heading2"/>
      </w:pPr>
      <w:r>
        <w:t xml:space="preserve">Spatial heterogeneity of disease infection</w:t>
      </w:r>
    </w:p>
    <w:p>
      <w:pPr>
        <w:pStyle w:val="FirstParagraph"/>
      </w:pPr>
      <w:r>
        <w:t xml:space="preserve">We used SpATS to quantify spatial variation in the three disease phenotypes — namely, net form net blotch, spot form net blotch, and scald — in barley.</w:t>
      </w:r>
    </w:p>
    <w:p>
      <w:pPr>
        <w:numPr>
          <w:ilvl w:val="0"/>
          <w:numId w:val="1001"/>
        </w:numPr>
        <w:pStyle w:val="Compact"/>
      </w:pPr>
      <w:r>
        <w:t xml:space="preserve">describe SpATS results</w:t>
      </w:r>
    </w:p>
    <w:p>
      <w:pPr>
        <w:pStyle w:val="FirstParagraph"/>
      </w:pPr>
      <w:r>
        <w:t xml:space="preserve">These results showed that a substantial spatial heterogeneity of disease infection was unexplained by plants’ own genotypes and thus left a room to be explained by neighboring genotypes.</w:t>
      </w:r>
    </w:p>
    <w:bookmarkEnd w:id="32"/>
    <w:bookmarkStart w:id="33"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w:t>
      </w:r>
      <w:r>
        <w:t xml:space="preserve"> </w:t>
      </w:r>
      <w:r>
        <w:t xml:space="preserve">To address this question, we calculated phenotypic variation explained by neighbor genotype identity using the Neighbor GWAS model (eq. x).</w:t>
      </w:r>
      <w:r>
        <w:t xml:space="preserve"> </w:t>
      </w:r>
      <w:r>
        <w:t xml:space="preserve">All the three phenotypes of disease infection exhibited &gt;20% SNP heritability regarding plant’s own genotypic effects at least with marginal significant levels (blue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More remarkably, we found significant contributions of neighbor genotypes to all the three disease phenotypes (red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For instance, the influence of neighbor genotypes on the net form net blotch was significant (</w:t>
      </w:r>
      <m:oMath>
        <m:r>
          <m:t>p</m:t>
        </m:r>
      </m:oMath>
      <w:r>
        <w:t xml:space="preserve">&lt;0.05) up to the second nearest neighbors and remained marginally significant (</w:t>
      </w:r>
      <m:oMath>
        <m:r>
          <m:t>p</m:t>
        </m:r>
      </m:oMath>
      <w:r>
        <w:t xml:space="preserve">&lt;0.1 and</w:t>
      </w:r>
      <w:r>
        <w:t xml:space="preserve"> </w:t>
      </w:r>
      <m:oMath>
        <m:r>
          <m:t>p</m:t>
        </m:r>
      </m:oMath>
      <w:r>
        <w:t xml:space="preserve">&gt;0.05) up to the fourth nearest neighbors (Fig. 3A and Table S2A).</w:t>
      </w:r>
      <w:r>
        <w:t xml:space="preserve"> </w:t>
      </w:r>
      <w:r>
        <w:t xml:space="preserve">The spot form net blotch was significantly influenced by the first and second nearest neighbors, though this influence became non-significant for the distant neighbors (Fig. 3B and Table S2B).</w:t>
      </w:r>
      <w:r>
        <w:t xml:space="preserve"> </w:t>
      </w:r>
      <w:r>
        <w:t xml:space="preserve">The scald damage showed the most significant patterns among the three disease phenotypes, such that the influence of neighboring genotypes remained significant across a space (Fig. 3C and Table S2C).</w:t>
      </w:r>
      <w:r>
        <w:t xml:space="preserve"> </w:t>
      </w:r>
      <w:r>
        <w:t xml:space="preserve">These significant contributions of neighbor genotypes to the three disease phenotypes explained 9 to 30% of total phenotypic variation (red bars in Fig. 3).</w:t>
      </w:r>
      <w:r>
        <w:t xml:space="preserve"> </w:t>
      </w:r>
      <w:r>
        <w:t xml:space="preserve">The similar patterns were found even when the cut-off value of MAF was changed to 0.05 (Table S3A-C).</w:t>
      </w:r>
      <w:r>
        <w:t xml:space="preserve"> </w:t>
      </w:r>
      <w:r>
        <w:t xml:space="preserve">These variance component analyses showed that a significant fraction of damage variation was attributable to neighbor genotypic identity, which led us to further ask whether this significant variation could be explained by major-effect loci.</w:t>
      </w:r>
    </w:p>
    <w:bookmarkEnd w:id="33"/>
    <w:bookmarkStart w:id="34" w:name="genome-wide-association-study"/>
    <w:p>
      <w:pPr>
        <w:pStyle w:val="Heading2"/>
      </w:pPr>
      <w:r>
        <w:t xml:space="preserve">Genome-wide association study</w:t>
      </w:r>
    </w:p>
    <w:p>
      <w:pPr>
        <w:pStyle w:val="FirstParagraph"/>
      </w:pPr>
      <w:r>
        <w:t xml:space="preserve">Lastly, we used Neighbor GWAS to detect loci associated with neighbor genotypic effects on the three phenotypes of disease infection.</w:t>
      </w:r>
      <w:r>
        <w:t xml:space="preserve"> </w:t>
      </w:r>
      <w:r>
        <w:t xml:space="preserve">We detected two significant SNPs associated with neighbor genotypic effects at the spatial scale of the forth nearest neighbors.</w:t>
      </w:r>
      <w:r>
        <w:t xml:space="preserve"> </w:t>
      </w:r>
      <w:r>
        <w:t xml:space="preserve">One of these two significant SNPs was detected for the net form net blotch and another was for scald (Fig. 4B, C, D).</w:t>
      </w:r>
      <w:r>
        <w:t xml:space="preserve"> </w:t>
      </w:r>
      <w:r>
        <w:t xml:space="preserve">The significant SNP of neighbor genotypic effects on the net form net blotch was located on the tip of 7H chromosome (Chr7H at 610368438: Fig. 4B).</w:t>
      </w:r>
      <w:r>
        <w:t xml:space="preserve"> </w:t>
      </w:r>
      <w:r>
        <w:t xml:space="preserve">This significant SNP exhibited a positive sign of neighbor effect coefficient (</w:t>
      </w:r>
      <m:oMath>
        <m:sSub>
          <m:e>
            <m:r>
              <m:t>β</m:t>
            </m:r>
          </m:e>
          <m:sub>
            <m:r>
              <m:t>2</m:t>
            </m:r>
          </m:sub>
        </m:sSub>
      </m:oMath>
      <w:r>
        <w:t xml:space="preserve"> </w:t>
      </w:r>
      <w:r>
        <w:t xml:space="preserve">= 2.77, MAF = 0.109, raw</w:t>
      </w:r>
      <w:r>
        <w:t xml:space="preserve"> </w:t>
      </w:r>
      <m:oMath>
        <m:r>
          <m:t>p</m:t>
        </m:r>
      </m:oMath>
      <w:r>
        <w:t xml:space="preserve">-value = 4.66e-07), indicating that this SNP had positive allelic interactions to prevent the disease spread among neighboring plots.</w:t>
      </w:r>
      <w:r>
        <w:t xml:space="preserve"> </w:t>
      </w:r>
      <w:r>
        <w:t xml:space="preserve">The genomic region x-kb near this SNP included two candidate loci</w:t>
      </w:r>
      <w:r>
        <w:t xml:space="preserve"> </w:t>
      </w:r>
      <w:r>
        <w:rPr>
          <w:bCs/>
          <w:b/>
        </w:rPr>
        <w:t xml:space="preserve">x</w:t>
      </w:r>
      <w:r>
        <w:t xml:space="preserve"> </w:t>
      </w:r>
      <w:r>
        <w:t xml:space="preserve">and</w:t>
      </w:r>
      <w:r>
        <w:t xml:space="preserve"> </w:t>
      </w:r>
      <w:r>
        <w:rPr>
          <w:bCs/>
          <w:b/>
        </w:rPr>
        <w:t xml:space="preserve">y</w:t>
      </w:r>
      <w:r>
        <w:t xml:space="preserve">, although their functions are unexplored.</w:t>
      </w:r>
      <w:r>
        <w:br/>
      </w:r>
      <w:r>
        <w:t xml:space="preserve">Another significant SNP detected for scald was assigned as an un-anchored chromosome (Fig. 4F): thus, its QTL position remains unknown.</w:t>
      </w:r>
      <w:r>
        <w:t xml:space="preserve"> </w:t>
      </w:r>
      <w:r>
        <w:t xml:space="preserve">In addition to the two significant SNPs, a marginally significant SNP for the scald damage was found on the 7H chromosome (chr7H at 581517810: Fig. 4F).</w:t>
      </w:r>
      <w:r>
        <w:t xml:space="preserve"> </w:t>
      </w:r>
      <w:r>
        <w:t xml:space="preserve">This SNP had a positive sign of neighbor effect coefficient (</w:t>
      </w:r>
      <m:oMath>
        <m:sSub>
          <m:e>
            <m:r>
              <m:t>β</m:t>
            </m:r>
          </m:e>
          <m:sub>
            <m:r>
              <m:t>2</m:t>
            </m:r>
          </m:sub>
        </m:sSub>
      </m:oMath>
      <w:r>
        <w:t xml:space="preserve"> </w:t>
      </w:r>
      <w:r>
        <w:t xml:space="preserve">= 3.24, MAF = 0.098, raw</w:t>
      </w:r>
      <w:r>
        <w:t xml:space="preserve"> </w:t>
      </w:r>
      <m:oMath>
        <m:r>
          <m:t>p</m:t>
        </m:r>
      </m:oMath>
      <w:r>
        <w:t xml:space="preserve">-value = 4.19e-06) and thus indicated positive allelic interactions at this locus to prevent the disease spread among neighboring plots.</w:t>
      </w:r>
      <w:r>
        <w:t xml:space="preserve"> </w:t>
      </w:r>
      <w:r>
        <w:t xml:space="preserve">These findings suggest the potential existence of QTLs responsible for positive plot-plot interactions that mitigate disease spreads.</w:t>
      </w:r>
    </w:p>
    <w:p>
      <w:pPr>
        <w:pStyle w:val="BodyText"/>
      </w:pPr>
      <w:r>
        <w:t xml:space="preserve">To examine whether neighbor genotypic effects shared the same QTLs with plant’s own genotypic effects, we also conducted standard GWAS and compared it with Neighbor GWAS.</w:t>
      </w:r>
      <w:r>
        <w:t xml:space="preserve"> </w:t>
      </w:r>
      <w:r>
        <w:t xml:space="preserve">This standard GWAS did not find any significant SNPs for the three diseases (</w:t>
      </w:r>
      <m:oMath>
        <m:r>
          <m:t>p</m:t>
        </m:r>
      </m:oMath>
      <w:r>
        <w:t xml:space="preserve"> </w:t>
      </w:r>
      <w:r>
        <w:t xml:space="preserve">&gt; 0.1 after Bonferroni correction) but found suggestive peaks.</w:t>
      </w:r>
      <w:r>
        <w:t xml:space="preserve"> </w:t>
      </w:r>
      <w:r>
        <w:t xml:space="preserve">Such weak peaks were found for the damage by the net form and spot form net blotch and located on x chromosomes. (Fig. 4A and C).</w:t>
      </w:r>
    </w:p>
    <w:p>
      <w:pPr>
        <w:numPr>
          <w:ilvl w:val="0"/>
          <w:numId w:val="1002"/>
        </w:numPr>
        <w:pStyle w:val="Compact"/>
      </w:pPr>
      <w:r>
        <w:t xml:space="preserve">QTL position of NFNB in comparison with self-QTL</w:t>
      </w:r>
      <w:r>
        <w:br/>
      </w:r>
    </w:p>
    <w:p>
      <w:pPr>
        <w:numPr>
          <w:ilvl w:val="0"/>
          <w:numId w:val="1002"/>
        </w:numPr>
        <w:pStyle w:val="Compact"/>
      </w:pPr>
      <w:r>
        <w:t xml:space="preserve">QTL position of SFNB in comparison with self-QTL</w:t>
      </w:r>
      <w:r>
        <w:br/>
      </w:r>
    </w:p>
    <w:p>
      <w:pPr>
        <w:numPr>
          <w:ilvl w:val="0"/>
          <w:numId w:val="1002"/>
        </w:numPr>
        <w:pStyle w:val="Compact"/>
      </w:pPr>
      <w:r>
        <w:t xml:space="preserve">QTL position of Scald in comparison with self-QTL</w:t>
      </w:r>
    </w:p>
    <w:p>
      <w:pPr>
        <w:pStyle w:val="FirstParagraph"/>
      </w:pPr>
      <w:r>
        <w:t xml:space="preserve">Combined with the Neighbor GWAS results, these findings suggest that plant’ own and neighbor genotypic effects on disease infection may have different genetic bases.</w:t>
      </w:r>
    </w:p>
    <w:bookmarkEnd w:id="34"/>
    <w:bookmarkEnd w:id="35"/>
    <w:bookmarkStart w:id="39" w:name="discussion"/>
    <w:p>
      <w:pPr>
        <w:pStyle w:val="Heading1"/>
      </w:pPr>
      <w:r>
        <w:t xml:space="preserve">Discussion</w:t>
      </w:r>
    </w:p>
    <w:p>
      <w:pPr>
        <w:pStyle w:val="FirstParagraph"/>
      </w:pPr>
      <w:r>
        <w:t xml:space="preserve">Our quantitative genetic analyses revealed that significant fractions of spatial heterogeneity was attributable to neighbor genotypes in barley diseases.</w:t>
      </w:r>
      <w:r>
        <w:t xml:space="preserve"> </w:t>
      </w:r>
      <w:r>
        <w:t xml:space="preserve">Similarly, studies on indirect genetic effects reported the influence of neighboring genotypes on the other individuals’ phenotypes in</w:t>
      </w:r>
      <w:r>
        <w:t xml:space="preserve"> </w:t>
      </w:r>
      <w:r>
        <w:rPr>
          <w:iCs/>
          <w:i/>
        </w:rPr>
        <w:t xml:space="preserve">Arabidopsis</w:t>
      </w:r>
      <w:r>
        <w:t xml:space="preserve"> </w:t>
      </w:r>
      <w:r>
        <w:t xml:space="preserve">(Montazeaud</w:t>
      </w:r>
      <w:r>
        <w:t xml:space="preserve"> </w:t>
      </w:r>
      <w:r>
        <w:rPr>
          <w:iCs/>
          <w:i/>
        </w:rPr>
        <w:t xml:space="preserve">et al.</w:t>
      </w:r>
      <w:r>
        <w:t xml:space="preserve"> </w:t>
      </w:r>
      <w:r>
        <w:t xml:space="preserve">2023)</w:t>
      </w:r>
      <w:r>
        <w:t xml:space="preserve">,</w:t>
      </w:r>
      <w:r>
        <w:t xml:space="preserve"> </w:t>
      </w:r>
      <w:r>
        <w:rPr>
          <w:iCs/>
          <w:i/>
        </w:rPr>
        <w:t xml:space="preserve">Eucalyptus</w:t>
      </w:r>
      <w:r>
        <w:t xml:space="preserve"> </w:t>
      </w:r>
      <w:r>
        <w:t xml:space="preserve">(Costa e Silva</w:t>
      </w:r>
      <w:r>
        <w:t xml:space="preserve"> </w:t>
      </w:r>
      <w:r>
        <w:rPr>
          <w:iCs/>
          <w:i/>
        </w:rPr>
        <w:t xml:space="preserve">et al.</w:t>
      </w:r>
      <w:r>
        <w:t xml:space="preserve"> </w:t>
      </w:r>
      <w:r>
        <w:t xml:space="preserve">2017)</w:t>
      </w:r>
      <w:r>
        <w:t xml:space="preserve">, and</w:t>
      </w:r>
      <w:r>
        <w:t xml:space="preserve"> </w:t>
      </w:r>
      <w:r>
        <w:rPr>
          <w:bCs/>
          <w:b/>
        </w:rPr>
        <w:t xml:space="preserve">other examples to be cited</w:t>
      </w:r>
      <w:r>
        <w:t xml:space="preserve">.</w:t>
      </w:r>
      <w:r>
        <w:t xml:space="preserve"> </w:t>
      </w:r>
      <w:r>
        <w:t xml:space="preserve">While these previous studies also quantified the phenotypic variation attributable to neighboring genotypes, genetic variants has yet to be identified.</w:t>
      </w:r>
      <w:r>
        <w:t xml:space="preserve"> </w:t>
      </w:r>
      <w:r>
        <w:t xml:space="preserve">In this context, our Neighbor GWAS analysis detected a significant SNP associated with neighbor genotypic effects on the net blotch damage.</w:t>
      </w:r>
      <w:r>
        <w:t xml:space="preserve"> </w:t>
      </w:r>
      <w:r>
        <w:t xml:space="preserve">This is the first example for Neighbor GWAS to detect a significant QTL and, to our knowledge, one of few reports of significant QTLs responsible for neighbor genotypic effects</w:t>
      </w:r>
      <w:r>
        <w:t xml:space="preserve"> </w:t>
      </w:r>
      <w:r>
        <w:t xml:space="preserve">(Montazeaud</w:t>
      </w:r>
      <w:r>
        <w:t xml:space="preserve"> </w:t>
      </w:r>
      <w:r>
        <w:rPr>
          <w:iCs/>
          <w:i/>
        </w:rPr>
        <w:t xml:space="preserve">et al.</w:t>
      </w:r>
      <w:r>
        <w:t xml:space="preserve"> </w:t>
      </w:r>
      <w:r>
        <w:t xml:space="preserve">2022)</w:t>
      </w:r>
      <w:r>
        <w:t xml:space="preserve">.</w:t>
      </w:r>
    </w:p>
    <w:bookmarkStart w:id="36" w:name="process-of-disease-spread"/>
    <w:p>
      <w:pPr>
        <w:pStyle w:val="Heading2"/>
      </w:pPr>
      <w:r>
        <w:t xml:space="preserve">Process of disease spread</w:t>
      </w:r>
    </w:p>
    <w:p>
      <w:pPr>
        <w:pStyle w:val="FirstParagraph"/>
      </w:pPr>
      <w:r>
        <w:t xml:space="preserve">The influence of neighboring genotypes on another plant’s infection could occur through dispersal from one plot to another.</w:t>
      </w:r>
      <w:r>
        <w:t xml:space="preserve"> </w:t>
      </w:r>
      <w:r>
        <w:t xml:space="preserve">Although our quantitative genetic analysis was unable to elucidate molecular mechanisms, effective spatial scales and a significant variant deserve to be discussed.</w:t>
      </w:r>
    </w:p>
    <w:p>
      <w:pPr>
        <w:numPr>
          <w:ilvl w:val="0"/>
          <w:numId w:val="1003"/>
        </w:numPr>
        <w:pStyle w:val="Compact"/>
      </w:pPr>
      <w:r>
        <w:t xml:space="preserve">spatial scales of PVE in comparison with SpATS patterns</w:t>
      </w:r>
    </w:p>
    <w:p>
      <w:pPr>
        <w:pStyle w:val="FirstParagraph"/>
      </w:pPr>
      <w:r>
        <w:t xml:space="preserve">Furthermore, we detected a significant QTL that had negative effects of allelic mixture on damage, indicating the risk of allelic mixture to spread diseases between different genotypes.</w:t>
      </w:r>
    </w:p>
    <w:p>
      <w:pPr>
        <w:pStyle w:val="BodyText"/>
      </w:pPr>
      <w:r>
        <w:t xml:space="preserve">The influence of neighboring genotypes depends not only on plant genetics but also on pathogen life histories, with respect to generation time and dispersal mode.</w:t>
      </w:r>
    </w:p>
    <w:p>
      <w:pPr>
        <w:numPr>
          <w:ilvl w:val="0"/>
          <w:numId w:val="1004"/>
        </w:numPr>
        <w:pStyle w:val="Compact"/>
      </w:pPr>
      <w:r>
        <w:t xml:space="preserve">discussions on the generation time and dispersal model of NFNB, SFNB, and Scald (based on Iqra’s literature survey)</w:t>
      </w:r>
    </w:p>
    <w:bookmarkEnd w:id="36"/>
    <w:bookmarkStart w:id="37" w:name="applicability-and-limitation"/>
    <w:p>
      <w:pPr>
        <w:pStyle w:val="Heading2"/>
      </w:pPr>
      <w:r>
        <w:t xml:space="preserve">Applicability and limitation</w:t>
      </w:r>
    </w:p>
    <w:p>
      <w:pPr>
        <w:pStyle w:val="FirstParagraph"/>
      </w:pPr>
      <w:r>
        <w:t xml:space="preserve">In order to infer neighboring genotype-genotype interactions, our analysis showed the effective use of open data collected from a randomized block design of many plant genotypes.</w:t>
      </w:r>
      <w:r>
        <w:t xml:space="preserve"> </w:t>
      </w:r>
      <w:r>
        <w:t xml:space="preserve">As the randomized block design is often employed to conduct GWAS</w:t>
      </w:r>
      <w:r>
        <w:t xml:space="preserve"> </w:t>
      </w:r>
      <w:r>
        <w:t xml:space="preserve">(e.g., Sato</w:t>
      </w:r>
      <w:r>
        <w:t xml:space="preserve"> </w:t>
      </w:r>
      <w:r>
        <w:rPr>
          <w:iCs/>
          <w:i/>
        </w:rPr>
        <w:t xml:space="preserve">et al.</w:t>
      </w:r>
      <w:r>
        <w:t xml:space="preserve"> </w:t>
      </w:r>
      <w:r>
        <w:t xml:space="preserve">2024)</w:t>
      </w:r>
      <w:r>
        <w:t xml:space="preserve">, there should be other available data on various plant species.</w:t>
      </w:r>
      <w:r>
        <w:t xml:space="preserve"> </w:t>
      </w:r>
      <w:r>
        <w:t xml:space="preserve">In this context, Neighbor GWAS does not require manipulative experiments and thus widens the opportunity to study the genetic architecture of plant-plant interactions using open data</w:t>
      </w:r>
      <w:r>
        <w:t xml:space="preserve"> </w:t>
      </w:r>
      <w:r>
        <w:t xml:space="preserve">(Sato and Wuest 2024)</w:t>
      </w:r>
      <w:r>
        <w:t xml:space="preserve">.</w:t>
      </w:r>
      <w:r>
        <w:t xml:space="preserve"> </w:t>
      </w:r>
      <w:r>
        <w:t xml:space="preserve">Meanwhile, we should note that open data may not be always complete.</w:t>
      </w:r>
      <w:r>
        <w:t xml:space="preserve"> </w:t>
      </w:r>
      <w:r>
        <w:t xml:space="preserve">For instance, detailed metadata, such physical distance between individual plots or plants, were not found in the barley open data.</w:t>
      </w:r>
      <w:r>
        <w:t xml:space="preserve"> </w:t>
      </w:r>
      <w:r>
        <w:t xml:space="preserve">This shortage of basic information could have made the interpretation of Neighbor GWAS difficult.</w:t>
      </w:r>
      <w:r>
        <w:t xml:space="preserve"> </w:t>
      </w:r>
      <w:r>
        <w:t xml:space="preserve">To solve this issue, pattern-based analyses, such as P-splines in SpATS, was used as a complementary tool to determine the upper limit of spatial heterogeneity in observed phenotypes.</w:t>
      </w:r>
      <w:r>
        <w:t xml:space="preserve"> </w:t>
      </w:r>
      <w:r>
        <w:t xml:space="preserve">A joint use of pattern-based and process-based modeling would be effective for overcoming potential limitations regarding data availability.</w:t>
      </w:r>
    </w:p>
    <w:bookmarkEnd w:id="37"/>
    <w:bookmarkStart w:id="38" w:name="conclusion"/>
    <w:p>
      <w:pPr>
        <w:pStyle w:val="Heading2"/>
      </w:pPr>
      <w:r>
        <w:t xml:space="preserve">Conclusion</w:t>
      </w:r>
    </w:p>
    <w:p>
      <w:pPr>
        <w:pStyle w:val="FirstParagraph"/>
      </w:pPr>
      <w:r>
        <w:t xml:space="preserve">Harnessing open data, we found significant phenotypic variation and genetic variant associated with neighbor genotypic effects on disease infection in barley.</w:t>
      </w:r>
      <w:r>
        <w:t xml:space="preserve"> </w:t>
      </w:r>
      <w:r>
        <w:t xml:space="preserve">Neighbor genotypic effects are linked to genotype mixtures</w:t>
      </w:r>
      <w:r>
        <w:t xml:space="preserve"> </w:t>
      </w:r>
      <w:r>
        <w:t xml:space="preserve">(Sato</w:t>
      </w:r>
      <w:r>
        <w:t xml:space="preserve"> </w:t>
      </w:r>
      <w:r>
        <w:rPr>
          <w:iCs/>
          <w:i/>
        </w:rPr>
        <w:t xml:space="preserve">et al.</w:t>
      </w:r>
      <w:r>
        <w:t xml:space="preserve"> </w:t>
      </w:r>
      <w:r>
        <w:t xml:space="preserve">2024)</w:t>
      </w:r>
      <w:r>
        <w:t xml:space="preserve">, providing one of promising ways for integrated pest management</w:t>
      </w:r>
      <w:r>
        <w:t xml:space="preserve"> </w:t>
      </w:r>
      <w:r>
        <w:t xml:space="preserve">(Tooker and Frank 2012)</w:t>
      </w:r>
      <w:r>
        <w:t xml:space="preserve">.</w:t>
      </w:r>
      <w:r>
        <w:t xml:space="preserve"> </w:t>
      </w:r>
      <w:r>
        <w:t xml:space="preserve">Unlike a previous study on polygenic traits</w:t>
      </w:r>
      <w:r>
        <w:t xml:space="preserve"> </w:t>
      </w:r>
      <w:r>
        <w:t xml:space="preserve">(Sato</w:t>
      </w:r>
      <w:r>
        <w:t xml:space="preserve"> </w:t>
      </w:r>
      <w:r>
        <w:rPr>
          <w:iCs/>
          <w:i/>
        </w:rPr>
        <w:t xml:space="preserve">et al.</w:t>
      </w:r>
      <w:r>
        <w:t xml:space="preserve"> </w:t>
      </w:r>
      <w:r>
        <w:t xml:space="preserve">2024)</w:t>
      </w:r>
      <w:r>
        <w:t xml:space="preserve">, the identification of significant QTLs may enable us to optimize population-level pest damage with a few loci focused</w:t>
      </w:r>
      <w:r>
        <w:t xml:space="preserve"> </w:t>
      </w:r>
      <w:r>
        <w:t xml:space="preserve">(Wuest</w:t>
      </w:r>
      <w:r>
        <w:t xml:space="preserve"> </w:t>
      </w:r>
      <w:r>
        <w:rPr>
          <w:iCs/>
          <w:i/>
        </w:rPr>
        <w:t xml:space="preserve">et al.</w:t>
      </w:r>
      <w:r>
        <w:t xml:space="preserve"> </w:t>
      </w:r>
      <w:r>
        <w:t xml:space="preserve">2021; Sato and Wuest 2024)</w:t>
      </w:r>
      <w:r>
        <w:t xml:space="preserve">.</w:t>
      </w:r>
      <w:r>
        <w:t xml:space="preserve"> </w:t>
      </w:r>
      <w:r>
        <w:t xml:space="preserve">Beyond genotype mixture, allelic mixture is particularly suitable for crop varieties because intraspecific varieties can be subjected to breeding by crossing each other</w:t>
      </w:r>
      <w:r>
        <w:t xml:space="preserve"> </w:t>
      </w:r>
      <w:r>
        <w:t xml:space="preserve">(Montazeaud</w:t>
      </w:r>
      <w:r>
        <w:t xml:space="preserve"> </w:t>
      </w:r>
      <w:r>
        <w:rPr>
          <w:iCs/>
          <w:i/>
        </w:rPr>
        <w:t xml:space="preserve">et al.</w:t>
      </w:r>
      <w:r>
        <w:t xml:space="preserve"> </w:t>
      </w:r>
      <w:r>
        <w:t xml:space="preserve">2022)</w:t>
      </w:r>
      <w:r>
        <w:t xml:space="preserve">.</w:t>
      </w:r>
      <w:r>
        <w:t xml:space="preserve"> </w:t>
      </w:r>
      <w:r>
        <w:t xml:space="preserve">Further studies are needed to validate these effects by comparing allelic monoculture and mixture at the candidate locus.</w:t>
      </w:r>
    </w:p>
    <w:bookmarkEnd w:id="38"/>
    <w:bookmarkEnd w:id="39"/>
    <w:bookmarkStart w:id="42" w:name="data-availability"/>
    <w:p>
      <w:pPr>
        <w:pStyle w:val="Heading1"/>
      </w:pPr>
      <w:r>
        <w:t xml:space="preserve">Data availability</w:t>
      </w:r>
    </w:p>
    <w:p>
      <w:pPr>
        <w:pStyle w:val="FirstParagraph"/>
      </w:pPr>
      <w:r>
        <w:t xml:space="preserve">All the source code and input data are available at GitHub (</w:t>
      </w:r>
      <w:hyperlink r:id="rId40">
        <w:r>
          <w:rPr>
            <w:rStyle w:val="Hyperlink"/>
          </w:rPr>
          <w:t xml:space="preserve">https://github.com/yassato/caige_barley</w:t>
        </w:r>
      </w:hyperlink>
      <w:r>
        <w:t xml:space="preserve">) and Zenodo (</w:t>
      </w:r>
      <w:hyperlink r:id="rId41">
        <w:r>
          <w:rPr>
            <w:rStyle w:val="Hyperlink"/>
          </w:rPr>
          <w:t xml:space="preserve">https://doi.org/xxxxxx</w:t>
        </w:r>
      </w:hyperlink>
      <w:r>
        <w:t xml:space="preserve">).</w:t>
      </w:r>
    </w:p>
    <w:bookmarkEnd w:id="42"/>
    <w:bookmarkStart w:id="43" w:name="author-contributions"/>
    <w:p>
      <w:pPr>
        <w:pStyle w:val="Heading1"/>
      </w:pPr>
      <w:r>
        <w:t xml:space="preserve">Author contributions</w:t>
      </w:r>
    </w:p>
    <w:p>
      <w:pPr>
        <w:pStyle w:val="FirstParagraph"/>
      </w:pPr>
      <w:r>
        <w:t xml:space="preserve">IA: investigation, formal analysis, funding acquisition, writing; RSI: supervision, funding acquisition, writing; YS: methodology, investigation, data curation, formal analysis, supervision, funding acquisition, writing</w:t>
      </w:r>
    </w:p>
    <w:bookmarkEnd w:id="43"/>
    <w:bookmarkStart w:id="44" w:name="acknowledgement"/>
    <w:p>
      <w:pPr>
        <w:pStyle w:val="Heading1"/>
      </w:pPr>
      <w:r>
        <w:t xml:space="preserve">Acknowledgement</w:t>
      </w:r>
    </w:p>
    <w:p>
      <w:pPr>
        <w:pStyle w:val="FirstParagraph"/>
      </w:pPr>
      <w:r>
        <w:t xml:space="preserve">The authors appreciate all efforts made by the data collectors of the CAIGE project. Thanks are also given to Lukas Rohr, a former master student at the University of Zurich, for pilot analyses during the initial stage. This study was supported by the Japan Science and Technology Agency (JST) FOREST program (grant no. xxx to YS); Swiss National Science Foundation (SNSF) Spark program (yyy to YS); and JST SPRING program (zzz through Hokkaido University’s EXEX Doctoral Fellowship to IA). The authors declare that there is no conflict of interest in this study.</w:t>
      </w:r>
    </w:p>
    <w:bookmarkEnd w:id="44"/>
    <w:bookmarkStart w:id="51" w:name="figures"/>
    <w:p>
      <w:pPr>
        <w:pStyle w:val="Heading1"/>
      </w:pPr>
      <w:r>
        <w:t xml:space="preserve">Figures</w:t>
      </w:r>
    </w:p>
    <w:p>
      <w:pPr>
        <w:numPr>
          <w:ilvl w:val="0"/>
          <w:numId w:val="1005"/>
        </w:numPr>
      </w:pPr>
      <w:r>
        <w:t xml:space="preserve">Figure 1. Workflow or scheme (if helpful)</w:t>
      </w:r>
    </w:p>
    <w:p>
      <w:pPr>
        <w:numPr>
          <w:ilvl w:val="0"/>
          <w:numId w:val="1005"/>
        </w:numPr>
      </w:pPr>
      <w:r>
        <w:t xml:space="preserve">Figure 2. SpATS for visualization of spatial heterogeneity</w:t>
      </w:r>
    </w:p>
    <w:p>
      <w:pPr>
        <w:pStyle w:val="CaptionedFigure"/>
      </w:pPr>
      <w:r>
        <w:drawing>
          <wp:inline>
            <wp:extent cx="5334000" cy="1679222"/>
            <wp:effectExtent b="0" l="0" r="0" t="0"/>
            <wp:docPr descr="Figure 3.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 \neq 0. Asterisks indicate * p&lt;0.05; ** p&lt;0.01 with likelihood ratio test (see Table S2 for exact p-values)." title="" id="46" name="Picture"/>
            <a:graphic>
              <a:graphicData uri="http://schemas.openxmlformats.org/drawingml/2006/picture">
                <pic:pic>
                  <pic:nvPicPr>
                    <pic:cNvPr descr="../figures/PVE_fig.pdf" id="47" name="Picture"/>
                    <pic:cNvPicPr>
                      <a:picLocks noChangeArrowheads="1" noChangeAspect="1"/>
                    </pic:cNvPicPr>
                  </pic:nvPicPr>
                  <pic:blipFill>
                    <a:blip r:embed="rId45"/>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3.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Asterisks indicate *</w:t>
      </w:r>
      <w:r>
        <w:t xml:space="preserve"> </w:t>
      </w:r>
      <m:oMath>
        <m:r>
          <m:t>p</m:t>
        </m:r>
        <m:r>
          <m:rPr>
            <m:sty m:val="p"/>
          </m:rPr>
          <m:t>&lt;</m:t>
        </m:r>
        <m:r>
          <m:t>0.05</m:t>
        </m:r>
      </m:oMath>
      <w:r>
        <w:t xml:space="preserve">; **</w:t>
      </w:r>
      <w:r>
        <w:t xml:space="preserve"> </w:t>
      </w:r>
      <m:oMath>
        <m:r>
          <m:t>p</m:t>
        </m:r>
        <m:r>
          <m:rPr>
            <m:sty m:val="p"/>
          </m:rPr>
          <m:t>&lt;</m:t>
        </m:r>
        <m:r>
          <m:t>0.01</m:t>
        </m:r>
      </m:oMath>
      <w:r>
        <w:t xml:space="preserve"> </w:t>
      </w:r>
      <w:r>
        <w:t xml:space="preserve">with likelihood ratio test (see Table S2 for exact</w:t>
      </w:r>
      <w:r>
        <w:t xml:space="preserve"> </w:t>
      </w:r>
      <m:oMath>
        <m:r>
          <m:t>p</m:t>
        </m:r>
      </m:oMath>
      <w:r>
        <w:t xml:space="preserve">-values).</w:t>
      </w:r>
    </w:p>
    <w:p>
      <w:pPr>
        <w:pStyle w:val="CaptionedFigure"/>
      </w:pPr>
      <w:r>
        <w:drawing>
          <wp:inline>
            <wp:extent cx="5334000" cy="3644900"/>
            <wp:effectExtent b="0" l="0" r="0" t="0"/>
            <wp:docPr descr="Figure 4.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 p&lt;0.05 with MAF cut-off values at 0.01 and 0.05, respectively." title="" id="49" name="Picture"/>
            <a:graphic>
              <a:graphicData uri="http://schemas.openxmlformats.org/drawingml/2006/picture">
                <pic:pic>
                  <pic:nvPicPr>
                    <pic:cNvPr descr="../figures/barleyMan.pdf" id="50" name="Picture"/>
                    <pic:cNvPicPr>
                      <a:picLocks noChangeArrowheads="1" noChangeAspect="1"/>
                    </pic:cNvPicPr>
                  </pic:nvPicPr>
                  <pic:blipFill>
                    <a:blip r:embed="rId48"/>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4.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51"/>
    <w:bookmarkStart w:id="52" w:name="tables"/>
    <w:p>
      <w:pPr>
        <w:pStyle w:val="Heading1"/>
      </w:pPr>
      <w:r>
        <w:t xml:space="preserve">Tables</w:t>
      </w:r>
    </w:p>
    <w:p>
      <w:pPr>
        <w:pStyle w:val="FirstParagraph"/>
      </w:pPr>
      <w:r>
        <w:t xml:space="preserve">Table 1. Summary of data availability</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are the number after individuals whose genotype are unavailable (i.e., %Missing) are excluded.</w:t>
      </w:r>
    </w:p>
    <w:bookmarkEnd w:id="52"/>
    <w:bookmarkStart w:id="61" w:name="supplementary-materials"/>
    <w:p>
      <w:pPr>
        <w:pStyle w:val="Heading1"/>
      </w:pPr>
      <w:r>
        <w:t xml:space="preserve">Supplementary Materials</w:t>
      </w:r>
    </w:p>
    <w:p>
      <w:pPr>
        <w:numPr>
          <w:ilvl w:val="0"/>
          <w:numId w:val="1006"/>
        </w:numPr>
        <w:pStyle w:val="Compact"/>
      </w:pPr>
      <w:r>
        <w:t xml:space="preserve">Figure S1. Spatial arrangements of plant genotypes</w:t>
      </w:r>
    </w:p>
    <w:p>
      <w:pPr>
        <w:pStyle w:val="CaptionedFigure"/>
      </w:pPr>
      <w:r>
        <w:drawing>
          <wp:inline>
            <wp:extent cx="5334000" cy="3921477"/>
            <wp:effectExtent b="0" l="0" r="0" t="0"/>
            <wp:docPr descr="Figure S2.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title="" id="54" name="Picture"/>
            <a:graphic>
              <a:graphicData uri="http://schemas.openxmlformats.org/drawingml/2006/picture">
                <pic:pic>
                  <pic:nvPicPr>
                    <pic:cNvPr descr="../figures/barleyQQ.pdf" id="55" name="Picture"/>
                    <pic:cNvPicPr>
                      <a:picLocks noChangeArrowheads="1" noChangeAspect="1"/>
                    </pic:cNvPicPr>
                  </pic:nvPicPr>
                  <pic:blipFill>
                    <a:blip r:embed="rId53"/>
                    <a:stretch>
                      <a:fillRect/>
                    </a:stretch>
                  </pic:blipFill>
                  <pic:spPr bwMode="auto">
                    <a:xfrm>
                      <a:off x="0" y="0"/>
                      <a:ext cx="5334000" cy="3921477"/>
                    </a:xfrm>
                    <a:prstGeom prst="rect">
                      <a:avLst/>
                    </a:prstGeom>
                    <a:noFill/>
                    <a:ln w="9525">
                      <a:noFill/>
                      <a:headEnd/>
                      <a:tailEnd/>
                    </a:ln>
                  </pic:spPr>
                </pic:pic>
              </a:graphicData>
            </a:graphic>
          </wp:inline>
        </w:drawing>
      </w:r>
    </w:p>
    <w:p>
      <w:pPr>
        <w:pStyle w:val="ImageCaption"/>
      </w:pPr>
      <w:r>
        <w:t xml:space="preserve">Figure S2.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Pr>
          <w:vertAlign w:val="subscript"/>
        </w:rPr>
        <w:t xml:space="preserve">10</w:t>
      </w:r>
      <w:r>
        <w:t xml:space="preserve">(</w:t>
      </w:r>
      <m:oMath>
        <m:r>
          <m:t>p</m:t>
        </m:r>
      </m:oMath>
      <w:r>
        <w:t xml:space="preserve">) association scores are plotted against those of expected values. Dashed lines indicate random expectation as</w:t>
      </w:r>
      <w:r>
        <w:t xml:space="preserve"> </w:t>
      </w:r>
      <m:oMath>
        <m:r>
          <m:t>y</m:t>
        </m:r>
        <m:r>
          <m:rPr>
            <m:sty m:val="p"/>
          </m:rPr>
          <m:t>=</m:t>
        </m:r>
        <m:r>
          <m:t>x</m:t>
        </m:r>
      </m:oMath>
      <w:r>
        <w:t xml:space="preserve">.</w:t>
      </w:r>
    </w:p>
    <w:p>
      <w:pPr>
        <w:numPr>
          <w:ilvl w:val="0"/>
          <w:numId w:val="1007"/>
        </w:numPr>
        <w:pStyle w:val="Compact"/>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56">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57">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58">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59">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60">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8"/>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0.366</w:t>
            </w:r>
          </w:p>
        </w:tc>
        <w:tc>
          <w:tcPr/>
          <w:p>
            <w:pPr>
              <w:pStyle w:val="Compact"/>
              <w:jc w:val="left"/>
            </w:pPr>
            <w:r>
              <w:t xml:space="preserve">0.000</w:t>
            </w:r>
          </w:p>
        </w:tc>
        <w:tc>
          <w:tcPr/>
          <w:p>
            <w:pPr>
              <w:pStyle w:val="Compact"/>
              <w:jc w:val="left"/>
            </w:pPr>
            <w:r>
              <w:t xml:space="preserve">5.012</w:t>
            </w:r>
          </w:p>
        </w:tc>
        <w:tc>
          <w:tcPr/>
          <w:p>
            <w:pPr>
              <w:pStyle w:val="Compact"/>
              <w:jc w:val="left"/>
            </w:pPr>
            <w:r>
              <w:t xml:space="preserve">0.025</w:t>
            </w:r>
          </w:p>
        </w:tc>
      </w:tr>
      <w:tr>
        <w:tc>
          <w:tcPr/>
          <w:p>
            <w:pPr>
              <w:pStyle w:val="Compact"/>
              <w:jc w:val="left"/>
            </w:pPr>
            <w:r>
              <w:t xml:space="preserve">1.00</w:t>
            </w:r>
          </w:p>
        </w:tc>
        <w:tc>
          <w:tcPr/>
          <w:p>
            <w:pPr>
              <w:pStyle w:val="Compact"/>
              <w:jc w:val="left"/>
            </w:pPr>
            <w:r>
              <w:t xml:space="preserve">0.366</w:t>
            </w:r>
          </w:p>
        </w:tc>
        <w:tc>
          <w:tcPr/>
          <w:p>
            <w:pPr>
              <w:pStyle w:val="Compact"/>
              <w:jc w:val="left"/>
            </w:pPr>
            <w:r>
              <w:t xml:space="preserve">0.145</w:t>
            </w:r>
          </w:p>
        </w:tc>
        <w:tc>
          <w:tcPr/>
          <w:p>
            <w:pPr>
              <w:pStyle w:val="Compact"/>
              <w:jc w:val="left"/>
            </w:pPr>
            <w:r>
              <w:t xml:space="preserve">5.684</w:t>
            </w:r>
          </w:p>
        </w:tc>
        <w:tc>
          <w:tcPr/>
          <w:p>
            <w:pPr>
              <w:pStyle w:val="Compact"/>
              <w:jc w:val="left"/>
            </w:pPr>
            <w:r>
              <w:t xml:space="preserve">0.017</w:t>
            </w:r>
          </w:p>
        </w:tc>
      </w:tr>
      <w:tr>
        <w:tc>
          <w:tcPr/>
          <w:p>
            <w:pPr>
              <w:pStyle w:val="Compact"/>
              <w:jc w:val="left"/>
            </w:pPr>
            <w:r>
              <w:t xml:space="preserve">1.42</w:t>
            </w:r>
          </w:p>
        </w:tc>
        <w:tc>
          <w:tcPr/>
          <w:p>
            <w:pPr>
              <w:pStyle w:val="Compact"/>
              <w:jc w:val="left"/>
            </w:pPr>
            <w:r>
              <w:t xml:space="preserve">0.366</w:t>
            </w:r>
          </w:p>
        </w:tc>
        <w:tc>
          <w:tcPr/>
          <w:p>
            <w:pPr>
              <w:pStyle w:val="Compact"/>
              <w:jc w:val="left"/>
            </w:pPr>
            <w:r>
              <w:t xml:space="preserve">0.143</w:t>
            </w:r>
          </w:p>
        </w:tc>
        <w:tc>
          <w:tcPr/>
          <w:p>
            <w:pPr>
              <w:pStyle w:val="Compact"/>
              <w:jc w:val="left"/>
            </w:pPr>
            <w:r>
              <w:t xml:space="preserve">4.029</w:t>
            </w:r>
          </w:p>
        </w:tc>
        <w:tc>
          <w:tcPr/>
          <w:p>
            <w:pPr>
              <w:pStyle w:val="Compact"/>
              <w:jc w:val="left"/>
            </w:pPr>
            <w:r>
              <w:t xml:space="preserve">0.045</w:t>
            </w:r>
          </w:p>
        </w:tc>
      </w:tr>
      <w:tr>
        <w:tc>
          <w:tcPr/>
          <w:p>
            <w:pPr>
              <w:pStyle w:val="Compact"/>
              <w:jc w:val="left"/>
            </w:pPr>
            <w:r>
              <w:t xml:space="preserve">2.00</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3.741</w:t>
            </w:r>
          </w:p>
        </w:tc>
        <w:tc>
          <w:tcPr/>
          <w:p>
            <w:pPr>
              <w:pStyle w:val="Compact"/>
              <w:jc w:val="left"/>
            </w:pPr>
            <w:r>
              <w:t xml:space="preserve">0.053</w:t>
            </w:r>
          </w:p>
        </w:tc>
      </w:tr>
      <w:tr>
        <w:tc>
          <w:tcPr/>
          <w:p>
            <w:pPr>
              <w:pStyle w:val="Compact"/>
              <w:jc w:val="left"/>
            </w:pPr>
            <w:r>
              <w:t xml:space="preserve">2.84</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3.064</w:t>
            </w:r>
          </w:p>
        </w:tc>
        <w:tc>
          <w:tcPr/>
          <w:p>
            <w:pPr>
              <w:pStyle w:val="Compact"/>
              <w:jc w:val="left"/>
            </w:pPr>
            <w:r>
              <w:t xml:space="preserve">0.080</w:t>
            </w:r>
          </w:p>
        </w:tc>
      </w:tr>
      <w:tr>
        <w:tc>
          <w:tcPr/>
          <w:p>
            <w:pPr>
              <w:pStyle w:val="Compact"/>
              <w:jc w:val="left"/>
            </w:pPr>
            <w:r>
              <w:t xml:space="preserve">3.00</w:t>
            </w:r>
          </w:p>
        </w:tc>
        <w:tc>
          <w:tcPr/>
          <w:p>
            <w:pPr>
              <w:pStyle w:val="Compact"/>
              <w:jc w:val="left"/>
            </w:pPr>
            <w:r>
              <w:t xml:space="preserve">0.366</w:t>
            </w:r>
          </w:p>
        </w:tc>
        <w:tc>
          <w:tcPr/>
          <w:p>
            <w:pPr>
              <w:pStyle w:val="Compact"/>
              <w:jc w:val="left"/>
            </w:pPr>
            <w:r>
              <w:t xml:space="preserve">0.192</w:t>
            </w:r>
          </w:p>
        </w:tc>
        <w:tc>
          <w:tcPr/>
          <w:p>
            <w:pPr>
              <w:pStyle w:val="Compact"/>
              <w:jc w:val="left"/>
            </w:pPr>
            <w:r>
              <w:t xml:space="preserve">2.661</w:t>
            </w:r>
          </w:p>
        </w:tc>
        <w:tc>
          <w:tcPr/>
          <w:p>
            <w:pPr>
              <w:pStyle w:val="Compact"/>
              <w:jc w:val="left"/>
            </w:pPr>
            <w:r>
              <w:t xml:space="preserve">0.103</w:t>
            </w:r>
          </w:p>
        </w:tc>
      </w:tr>
      <w:tr>
        <w:tc>
          <w:tcPr/>
          <w:p>
            <w:pPr>
              <w:pStyle w:val="Compact"/>
              <w:jc w:val="left"/>
            </w:pPr>
            <w:r>
              <w:t xml:space="preserve">4.00</w:t>
            </w:r>
          </w:p>
        </w:tc>
        <w:tc>
          <w:tcPr/>
          <w:p>
            <w:pPr>
              <w:pStyle w:val="Compact"/>
              <w:jc w:val="left"/>
            </w:pPr>
            <w:r>
              <w:t xml:space="preserve">0.366</w:t>
            </w:r>
          </w:p>
        </w:tc>
        <w:tc>
          <w:tcPr/>
          <w:p>
            <w:pPr>
              <w:pStyle w:val="Compact"/>
              <w:jc w:val="left"/>
            </w:pPr>
            <w:r>
              <w:t xml:space="preserve">0.193</w:t>
            </w:r>
          </w:p>
        </w:tc>
        <w:tc>
          <w:tcPr/>
          <w:p>
            <w:pPr>
              <w:pStyle w:val="Compact"/>
              <w:jc w:val="left"/>
            </w:pPr>
            <w:r>
              <w:t xml:space="preserve">2.979</w:t>
            </w:r>
          </w:p>
        </w:tc>
        <w:tc>
          <w:tcPr/>
          <w:p>
            <w:pPr>
              <w:pStyle w:val="Compact"/>
              <w:jc w:val="left"/>
            </w:pPr>
            <w:r>
              <w:t xml:space="preserve">0.084</w:t>
            </w:r>
          </w:p>
        </w:tc>
      </w:tr>
      <w:tr>
        <w:tc>
          <w:tcPr/>
          <w:p>
            <w:pPr>
              <w:pStyle w:val="Compact"/>
              <w:jc w:val="left"/>
            </w:pPr>
            <w:r>
              <w:t xml:space="preserve">4.25</w:t>
            </w:r>
          </w:p>
        </w:tc>
        <w:tc>
          <w:tcPr/>
          <w:p>
            <w:pPr>
              <w:pStyle w:val="Compact"/>
              <w:jc w:val="left"/>
            </w:pPr>
            <w:r>
              <w:t xml:space="preserve">0.366</w:t>
            </w:r>
          </w:p>
        </w:tc>
        <w:tc>
          <w:tcPr/>
          <w:p>
            <w:pPr>
              <w:pStyle w:val="Compact"/>
              <w:jc w:val="left"/>
            </w:pPr>
            <w:r>
              <w:t xml:space="preserve">0.103</w:t>
            </w:r>
          </w:p>
        </w:tc>
        <w:tc>
          <w:tcPr/>
          <w:p>
            <w:pPr>
              <w:pStyle w:val="Compact"/>
              <w:jc w:val="left"/>
            </w:pPr>
            <w:r>
              <w:t xml:space="preserve">0.552</w:t>
            </w:r>
          </w:p>
        </w:tc>
        <w:tc>
          <w:tcPr/>
          <w:p>
            <w:pPr>
              <w:pStyle w:val="Compact"/>
              <w:jc w:val="left"/>
            </w:pPr>
            <w:r>
              <w:t xml:space="preserve">0.457</w:t>
            </w:r>
          </w:p>
        </w:tc>
      </w:tr>
    </w:tbl>
    <w:p>
      <w:pPr>
        <w:numPr>
          <w:ilvl w:val="0"/>
          <w:numId w:val="1009"/>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4"/>
        <w:gridCol w:w="1704"/>
        <w:gridCol w:w="2105"/>
        <w:gridCol w:w="1203"/>
        <w:gridCol w:w="1303"/>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0.228</w:t>
            </w:r>
          </w:p>
        </w:tc>
        <w:tc>
          <w:tcPr/>
          <w:p>
            <w:pPr>
              <w:pStyle w:val="Compact"/>
              <w:jc w:val="left"/>
            </w:pPr>
            <w:r>
              <w:t xml:space="preserve">0.000</w:t>
            </w:r>
          </w:p>
        </w:tc>
        <w:tc>
          <w:tcPr/>
          <w:p>
            <w:pPr>
              <w:pStyle w:val="Compact"/>
              <w:jc w:val="left"/>
            </w:pPr>
            <w:r>
              <w:t xml:space="preserve">2.913</w:t>
            </w:r>
          </w:p>
        </w:tc>
        <w:tc>
          <w:tcPr/>
          <w:p>
            <w:pPr>
              <w:pStyle w:val="Compact"/>
              <w:jc w:val="left"/>
            </w:pPr>
            <w:r>
              <w:t xml:space="preserve">0.088</w:t>
            </w:r>
          </w:p>
        </w:tc>
      </w:tr>
      <w:tr>
        <w:tc>
          <w:tcPr/>
          <w:p>
            <w:pPr>
              <w:pStyle w:val="Compact"/>
              <w:jc w:val="left"/>
            </w:pPr>
            <w:r>
              <w:t xml:space="preserve">1.00</w:t>
            </w:r>
          </w:p>
        </w:tc>
        <w:tc>
          <w:tcPr/>
          <w:p>
            <w:pPr>
              <w:pStyle w:val="Compact"/>
              <w:jc w:val="left"/>
            </w:pPr>
            <w:r>
              <w:t xml:space="preserve">0.228</w:t>
            </w:r>
          </w:p>
        </w:tc>
        <w:tc>
          <w:tcPr/>
          <w:p>
            <w:pPr>
              <w:pStyle w:val="Compact"/>
              <w:jc w:val="left"/>
            </w:pPr>
            <w:r>
              <w:t xml:space="preserve">0.146</w:t>
            </w:r>
          </w:p>
        </w:tc>
        <w:tc>
          <w:tcPr/>
          <w:p>
            <w:pPr>
              <w:pStyle w:val="Compact"/>
              <w:jc w:val="left"/>
            </w:pPr>
            <w:r>
              <w:t xml:space="preserve">2.734</w:t>
            </w:r>
          </w:p>
        </w:tc>
        <w:tc>
          <w:tcPr/>
          <w:p>
            <w:pPr>
              <w:pStyle w:val="Compact"/>
              <w:jc w:val="left"/>
            </w:pPr>
            <w:r>
              <w:t xml:space="preserve">0.098</w:t>
            </w:r>
          </w:p>
        </w:tc>
      </w:tr>
      <w:tr>
        <w:tc>
          <w:tcPr/>
          <w:p>
            <w:pPr>
              <w:pStyle w:val="Compact"/>
              <w:jc w:val="left"/>
            </w:pPr>
            <w:r>
              <w:t xml:space="preserve">1.42</w:t>
            </w:r>
          </w:p>
        </w:tc>
        <w:tc>
          <w:tcPr/>
          <w:p>
            <w:pPr>
              <w:pStyle w:val="Compact"/>
              <w:jc w:val="left"/>
            </w:pPr>
            <w:r>
              <w:t xml:space="preserve">0.228</w:t>
            </w:r>
          </w:p>
        </w:tc>
        <w:tc>
          <w:tcPr/>
          <w:p>
            <w:pPr>
              <w:pStyle w:val="Compact"/>
              <w:jc w:val="left"/>
            </w:pPr>
            <w:r>
              <w:t xml:space="preserve">0.199</w:t>
            </w:r>
          </w:p>
        </w:tc>
        <w:tc>
          <w:tcPr/>
          <w:p>
            <w:pPr>
              <w:pStyle w:val="Compact"/>
              <w:jc w:val="left"/>
            </w:pPr>
            <w:r>
              <w:t xml:space="preserve">4.366</w:t>
            </w:r>
          </w:p>
        </w:tc>
        <w:tc>
          <w:tcPr/>
          <w:p>
            <w:pPr>
              <w:pStyle w:val="Compact"/>
              <w:jc w:val="left"/>
            </w:pPr>
            <w:r>
              <w:t xml:space="preserve">0.037</w:t>
            </w:r>
          </w:p>
        </w:tc>
      </w:tr>
      <w:tr>
        <w:tc>
          <w:tcPr/>
          <w:p>
            <w:pPr>
              <w:pStyle w:val="Compact"/>
              <w:jc w:val="left"/>
            </w:pPr>
            <w:r>
              <w:t xml:space="preserve">2.00</w:t>
            </w:r>
          </w:p>
        </w:tc>
        <w:tc>
          <w:tcPr/>
          <w:p>
            <w:pPr>
              <w:pStyle w:val="Compact"/>
              <w:jc w:val="left"/>
            </w:pPr>
            <w:r>
              <w:t xml:space="preserve">0.228</w:t>
            </w:r>
          </w:p>
        </w:tc>
        <w:tc>
          <w:tcPr/>
          <w:p>
            <w:pPr>
              <w:pStyle w:val="Compact"/>
              <w:jc w:val="left"/>
            </w:pPr>
            <w:r>
              <w:t xml:space="preserve">0.303</w:t>
            </w:r>
          </w:p>
        </w:tc>
        <w:tc>
          <w:tcPr/>
          <w:p>
            <w:pPr>
              <w:pStyle w:val="Compact"/>
              <w:jc w:val="left"/>
            </w:pPr>
            <w:r>
              <w:t xml:space="preserve">6.938</w:t>
            </w:r>
          </w:p>
        </w:tc>
        <w:tc>
          <w:tcPr/>
          <w:p>
            <w:pPr>
              <w:pStyle w:val="Compact"/>
              <w:jc w:val="left"/>
            </w:pPr>
            <w:r>
              <w:t xml:space="preserve">0.008</w:t>
            </w:r>
          </w:p>
        </w:tc>
      </w:tr>
      <w:tr>
        <w:tc>
          <w:tcPr/>
          <w:p>
            <w:pPr>
              <w:pStyle w:val="Compact"/>
              <w:jc w:val="left"/>
            </w:pPr>
            <w:r>
              <w:t xml:space="preserve">2.84</w:t>
            </w:r>
          </w:p>
        </w:tc>
        <w:tc>
          <w:tcPr/>
          <w:p>
            <w:pPr>
              <w:pStyle w:val="Compact"/>
              <w:jc w:val="left"/>
            </w:pPr>
            <w:r>
              <w:t xml:space="preserve">0.228</w:t>
            </w:r>
          </w:p>
        </w:tc>
        <w:tc>
          <w:tcPr/>
          <w:p>
            <w:pPr>
              <w:pStyle w:val="Compact"/>
              <w:jc w:val="left"/>
            </w:pPr>
            <w:r>
              <w:t xml:space="preserve">0.198</w:t>
            </w:r>
          </w:p>
        </w:tc>
        <w:tc>
          <w:tcPr/>
          <w:p>
            <w:pPr>
              <w:pStyle w:val="Compact"/>
              <w:jc w:val="left"/>
            </w:pPr>
            <w:r>
              <w:t xml:space="preserve">2.305</w:t>
            </w:r>
          </w:p>
        </w:tc>
        <w:tc>
          <w:tcPr/>
          <w:p>
            <w:pPr>
              <w:pStyle w:val="Compact"/>
              <w:jc w:val="left"/>
            </w:pPr>
            <w:r>
              <w:t xml:space="preserve">0.129</w:t>
            </w:r>
          </w:p>
        </w:tc>
      </w:tr>
      <w:tr>
        <w:tc>
          <w:tcPr/>
          <w:p>
            <w:pPr>
              <w:pStyle w:val="Compact"/>
              <w:jc w:val="left"/>
            </w:pPr>
            <w:r>
              <w:t xml:space="preserve">3.00</w:t>
            </w:r>
          </w:p>
        </w:tc>
        <w:tc>
          <w:tcPr/>
          <w:p>
            <w:pPr>
              <w:pStyle w:val="Compact"/>
              <w:jc w:val="left"/>
            </w:pPr>
            <w:r>
              <w:t xml:space="preserve">0.228</w:t>
            </w:r>
          </w:p>
        </w:tc>
        <w:tc>
          <w:tcPr/>
          <w:p>
            <w:pPr>
              <w:pStyle w:val="Compact"/>
              <w:jc w:val="left"/>
            </w:pPr>
            <w:r>
              <w:t xml:space="preserve">0.222</w:t>
            </w:r>
          </w:p>
        </w:tc>
        <w:tc>
          <w:tcPr/>
          <w:p>
            <w:pPr>
              <w:pStyle w:val="Compact"/>
              <w:jc w:val="left"/>
            </w:pPr>
            <w:r>
              <w:t xml:space="preserve">2.033</w:t>
            </w:r>
          </w:p>
        </w:tc>
        <w:tc>
          <w:tcPr/>
          <w:p>
            <w:pPr>
              <w:pStyle w:val="Compact"/>
              <w:jc w:val="left"/>
            </w:pPr>
            <w:r>
              <w:t xml:space="preserve">0.154</w:t>
            </w:r>
          </w:p>
        </w:tc>
      </w:tr>
      <w:tr>
        <w:tc>
          <w:tcPr/>
          <w:p>
            <w:pPr>
              <w:pStyle w:val="Compact"/>
              <w:jc w:val="left"/>
            </w:pPr>
            <w:r>
              <w:t xml:space="preserve">4.00</w:t>
            </w:r>
          </w:p>
        </w:tc>
        <w:tc>
          <w:tcPr/>
          <w:p>
            <w:pPr>
              <w:pStyle w:val="Compact"/>
              <w:jc w:val="left"/>
            </w:pPr>
            <w:r>
              <w:t xml:space="preserve">0.228</w:t>
            </w:r>
          </w:p>
        </w:tc>
        <w:tc>
          <w:tcPr/>
          <w:p>
            <w:pPr>
              <w:pStyle w:val="Compact"/>
              <w:jc w:val="left"/>
            </w:pPr>
            <w:r>
              <w:t xml:space="preserve">0.141</w:t>
            </w:r>
          </w:p>
        </w:tc>
        <w:tc>
          <w:tcPr/>
          <w:p>
            <w:pPr>
              <w:pStyle w:val="Compact"/>
              <w:jc w:val="left"/>
            </w:pPr>
            <w:r>
              <w:t xml:space="preserve">0.625</w:t>
            </w:r>
          </w:p>
        </w:tc>
        <w:tc>
          <w:tcPr/>
          <w:p>
            <w:pPr>
              <w:pStyle w:val="Compact"/>
              <w:jc w:val="left"/>
            </w:pPr>
            <w:r>
              <w:t xml:space="preserve">0.429</w:t>
            </w:r>
          </w:p>
        </w:tc>
      </w:tr>
      <w:tr>
        <w:tc>
          <w:tcPr/>
          <w:p>
            <w:pPr>
              <w:pStyle w:val="Compact"/>
              <w:jc w:val="left"/>
            </w:pPr>
            <w:r>
              <w:t xml:space="preserve">4.25</w:t>
            </w:r>
          </w:p>
        </w:tc>
        <w:tc>
          <w:tcPr/>
          <w:p>
            <w:pPr>
              <w:pStyle w:val="Compact"/>
              <w:jc w:val="left"/>
            </w:pPr>
            <w:r>
              <w:t xml:space="preserve">0.228</w:t>
            </w:r>
          </w:p>
        </w:tc>
        <w:tc>
          <w:tcPr/>
          <w:p>
            <w:pPr>
              <w:pStyle w:val="Compact"/>
              <w:jc w:val="left"/>
            </w:pPr>
            <w:r>
              <w:t xml:space="preserve">0.127</w:t>
            </w:r>
          </w:p>
        </w:tc>
        <w:tc>
          <w:tcPr/>
          <w:p>
            <w:pPr>
              <w:pStyle w:val="Compact"/>
              <w:jc w:val="left"/>
            </w:pPr>
            <w:r>
              <w:t xml:space="preserve">0.410</w:t>
            </w:r>
          </w:p>
        </w:tc>
        <w:tc>
          <w:tcPr/>
          <w:p>
            <w:pPr>
              <w:pStyle w:val="Compact"/>
              <w:jc w:val="left"/>
            </w:pPr>
            <w:r>
              <w:t xml:space="preserve">0.522</w:t>
            </w:r>
          </w:p>
        </w:tc>
      </w:tr>
    </w:tbl>
    <w:p>
      <w:pPr>
        <w:numPr>
          <w:ilvl w:val="0"/>
          <w:numId w:val="1010"/>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0.591</w:t>
            </w:r>
          </w:p>
        </w:tc>
        <w:tc>
          <w:tcPr/>
          <w:p>
            <w:pPr>
              <w:pStyle w:val="Compact"/>
              <w:jc w:val="left"/>
            </w:pPr>
            <w:r>
              <w:t xml:space="preserve">0.000</w:t>
            </w:r>
          </w:p>
        </w:tc>
        <w:tc>
          <w:tcPr/>
          <w:p>
            <w:pPr>
              <w:pStyle w:val="Compact"/>
              <w:jc w:val="left"/>
            </w:pPr>
            <w:r>
              <w:t xml:space="preserve">14.659</w:t>
            </w:r>
          </w:p>
        </w:tc>
        <w:tc>
          <w:tcPr/>
          <w:p>
            <w:pPr>
              <w:pStyle w:val="Compact"/>
              <w:jc w:val="left"/>
            </w:pPr>
            <w:r>
              <w:t xml:space="preserve">0.00013</w:t>
            </w:r>
          </w:p>
        </w:tc>
      </w:tr>
      <w:tr>
        <w:tc>
          <w:tcPr/>
          <w:p>
            <w:pPr>
              <w:pStyle w:val="Compact"/>
              <w:jc w:val="left"/>
            </w:pPr>
            <w:r>
              <w:t xml:space="preserve">1.00</w:t>
            </w:r>
          </w:p>
        </w:tc>
        <w:tc>
          <w:tcPr/>
          <w:p>
            <w:pPr>
              <w:pStyle w:val="Compact"/>
              <w:jc w:val="left"/>
            </w:pPr>
            <w:r>
              <w:t xml:space="preserve">0.591</w:t>
            </w:r>
          </w:p>
        </w:tc>
        <w:tc>
          <w:tcPr/>
          <w:p>
            <w:pPr>
              <w:pStyle w:val="Compact"/>
              <w:jc w:val="left"/>
            </w:pPr>
            <w:r>
              <w:t xml:space="preserve">0.191</w:t>
            </w:r>
          </w:p>
        </w:tc>
        <w:tc>
          <w:tcPr/>
          <w:p>
            <w:pPr>
              <w:pStyle w:val="Compact"/>
              <w:jc w:val="left"/>
            </w:pPr>
            <w:r>
              <w:t xml:space="preserve">28.423</w:t>
            </w:r>
          </w:p>
        </w:tc>
        <w:tc>
          <w:tcPr/>
          <w:p>
            <w:pPr>
              <w:pStyle w:val="Compact"/>
              <w:jc w:val="left"/>
            </w:pPr>
            <w:r>
              <w:t xml:space="preserve">9.75E-08</w:t>
            </w:r>
          </w:p>
        </w:tc>
      </w:tr>
      <w:tr>
        <w:tc>
          <w:tcPr/>
          <w:p>
            <w:pPr>
              <w:pStyle w:val="Compact"/>
              <w:jc w:val="left"/>
            </w:pPr>
            <w:r>
              <w:t xml:space="preserve">1.42</w:t>
            </w:r>
          </w:p>
        </w:tc>
        <w:tc>
          <w:tcPr/>
          <w:p>
            <w:pPr>
              <w:pStyle w:val="Compact"/>
              <w:jc w:val="left"/>
            </w:pPr>
            <w:r>
              <w:t xml:space="preserve">0.591</w:t>
            </w:r>
          </w:p>
        </w:tc>
        <w:tc>
          <w:tcPr/>
          <w:p>
            <w:pPr>
              <w:pStyle w:val="Compact"/>
              <w:jc w:val="left"/>
            </w:pPr>
            <w:r>
              <w:t xml:space="preserve">0.098</w:t>
            </w:r>
          </w:p>
        </w:tc>
        <w:tc>
          <w:tcPr/>
          <w:p>
            <w:pPr>
              <w:pStyle w:val="Compact"/>
              <w:jc w:val="left"/>
            </w:pPr>
            <w:r>
              <w:t xml:space="preserve">14.040</w:t>
            </w:r>
          </w:p>
        </w:tc>
        <w:tc>
          <w:tcPr/>
          <w:p>
            <w:pPr>
              <w:pStyle w:val="Compact"/>
              <w:jc w:val="left"/>
            </w:pPr>
            <w:r>
              <w:t xml:space="preserve">0.00018</w:t>
            </w:r>
          </w:p>
        </w:tc>
      </w:tr>
      <w:tr>
        <w:tc>
          <w:tcPr/>
          <w:p>
            <w:pPr>
              <w:pStyle w:val="Compact"/>
              <w:jc w:val="left"/>
            </w:pPr>
            <w:r>
              <w:t xml:space="preserve">2.00</w:t>
            </w:r>
          </w:p>
        </w:tc>
        <w:tc>
          <w:tcPr/>
          <w:p>
            <w:pPr>
              <w:pStyle w:val="Compact"/>
              <w:jc w:val="left"/>
            </w:pPr>
            <w:r>
              <w:t xml:space="preserve">0.591</w:t>
            </w:r>
          </w:p>
        </w:tc>
        <w:tc>
          <w:tcPr/>
          <w:p>
            <w:pPr>
              <w:pStyle w:val="Compact"/>
              <w:jc w:val="left"/>
            </w:pPr>
            <w:r>
              <w:t xml:space="preserve">0.175</w:t>
            </w:r>
          </w:p>
        </w:tc>
        <w:tc>
          <w:tcPr/>
          <w:p>
            <w:pPr>
              <w:pStyle w:val="Compact"/>
              <w:jc w:val="left"/>
            </w:pPr>
            <w:r>
              <w:t xml:space="preserve">17.141</w:t>
            </w:r>
          </w:p>
        </w:tc>
        <w:tc>
          <w:tcPr/>
          <w:p>
            <w:pPr>
              <w:pStyle w:val="Compact"/>
              <w:jc w:val="left"/>
            </w:pPr>
            <w:r>
              <w:t xml:space="preserve">3.47E-05</w:t>
            </w:r>
          </w:p>
        </w:tc>
      </w:tr>
      <w:tr>
        <w:tc>
          <w:tcPr/>
          <w:p>
            <w:pPr>
              <w:pStyle w:val="Compact"/>
              <w:jc w:val="left"/>
            </w:pPr>
            <w:r>
              <w:t xml:space="preserve">2.84</w:t>
            </w:r>
          </w:p>
        </w:tc>
        <w:tc>
          <w:tcPr/>
          <w:p>
            <w:pPr>
              <w:pStyle w:val="Compact"/>
              <w:jc w:val="left"/>
            </w:pPr>
            <w:r>
              <w:t xml:space="preserve">0.591</w:t>
            </w:r>
          </w:p>
        </w:tc>
        <w:tc>
          <w:tcPr/>
          <w:p>
            <w:pPr>
              <w:pStyle w:val="Compact"/>
              <w:jc w:val="left"/>
            </w:pPr>
            <w:r>
              <w:t xml:space="preserve">0.101</w:t>
            </w:r>
          </w:p>
        </w:tc>
        <w:tc>
          <w:tcPr/>
          <w:p>
            <w:pPr>
              <w:pStyle w:val="Compact"/>
              <w:jc w:val="left"/>
            </w:pPr>
            <w:r>
              <w:t xml:space="preserve">6.129</w:t>
            </w:r>
          </w:p>
        </w:tc>
        <w:tc>
          <w:tcPr/>
          <w:p>
            <w:pPr>
              <w:pStyle w:val="Compact"/>
              <w:jc w:val="left"/>
            </w:pPr>
            <w:r>
              <w:t xml:space="preserve">0.0133</w:t>
            </w:r>
          </w:p>
        </w:tc>
      </w:tr>
      <w:tr>
        <w:tc>
          <w:tcPr/>
          <w:p>
            <w:pPr>
              <w:pStyle w:val="Compact"/>
              <w:jc w:val="left"/>
            </w:pPr>
            <w:r>
              <w:t xml:space="preserve">3.00</w:t>
            </w:r>
          </w:p>
        </w:tc>
        <w:tc>
          <w:tcPr/>
          <w:p>
            <w:pPr>
              <w:pStyle w:val="Compact"/>
              <w:jc w:val="left"/>
            </w:pPr>
            <w:r>
              <w:t xml:space="preserve">0.591</w:t>
            </w:r>
          </w:p>
        </w:tc>
        <w:tc>
          <w:tcPr/>
          <w:p>
            <w:pPr>
              <w:pStyle w:val="Compact"/>
              <w:jc w:val="left"/>
            </w:pPr>
            <w:r>
              <w:t xml:space="preserve">0.130</w:t>
            </w:r>
          </w:p>
        </w:tc>
        <w:tc>
          <w:tcPr/>
          <w:p>
            <w:pPr>
              <w:pStyle w:val="Compact"/>
              <w:jc w:val="left"/>
            </w:pPr>
            <w:r>
              <w:t xml:space="preserve">8.517</w:t>
            </w:r>
          </w:p>
        </w:tc>
        <w:tc>
          <w:tcPr/>
          <w:p>
            <w:pPr>
              <w:pStyle w:val="Compact"/>
              <w:jc w:val="left"/>
            </w:pPr>
            <w:r>
              <w:t xml:space="preserve">0.0035</w:t>
            </w:r>
          </w:p>
        </w:tc>
      </w:tr>
      <w:tr>
        <w:tc>
          <w:tcPr/>
          <w:p>
            <w:pPr>
              <w:pStyle w:val="Compact"/>
              <w:jc w:val="left"/>
            </w:pPr>
            <w:r>
              <w:t xml:space="preserve">4.00</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9.944</w:t>
            </w:r>
          </w:p>
        </w:tc>
        <w:tc>
          <w:tcPr/>
          <w:p>
            <w:pPr>
              <w:pStyle w:val="Compact"/>
              <w:jc w:val="left"/>
            </w:pPr>
            <w:r>
              <w:t xml:space="preserve">0.0016</w:t>
            </w:r>
          </w:p>
        </w:tc>
      </w:tr>
      <w:tr>
        <w:tc>
          <w:tcPr/>
          <w:p>
            <w:pPr>
              <w:pStyle w:val="Compact"/>
              <w:jc w:val="left"/>
            </w:pPr>
            <w:r>
              <w:t xml:space="preserve">4.25</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8.470</w:t>
            </w:r>
          </w:p>
        </w:tc>
        <w:tc>
          <w:tcPr/>
          <w:p>
            <w:pPr>
              <w:pStyle w:val="Compact"/>
              <w:jc w:val="left"/>
            </w:pPr>
            <w:r>
              <w:t xml:space="preserve">0.0036</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11"/>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0.296</w:t>
            </w:r>
          </w:p>
        </w:tc>
        <w:tc>
          <w:tcPr/>
          <w:p>
            <w:pPr>
              <w:pStyle w:val="Compact"/>
              <w:jc w:val="left"/>
            </w:pPr>
            <w:r>
              <w:t xml:space="preserve">0.000</w:t>
            </w:r>
          </w:p>
        </w:tc>
        <w:tc>
          <w:tcPr/>
          <w:p>
            <w:pPr>
              <w:pStyle w:val="Compact"/>
              <w:jc w:val="left"/>
            </w:pPr>
            <w:r>
              <w:t xml:space="preserve">4.878</w:t>
            </w:r>
          </w:p>
        </w:tc>
        <w:tc>
          <w:tcPr/>
          <w:p>
            <w:pPr>
              <w:pStyle w:val="Compact"/>
              <w:jc w:val="left"/>
            </w:pPr>
            <w:r>
              <w:t xml:space="preserve">0.027</w:t>
            </w:r>
          </w:p>
        </w:tc>
      </w:tr>
      <w:tr>
        <w:tc>
          <w:tcPr/>
          <w:p>
            <w:pPr>
              <w:pStyle w:val="Compact"/>
              <w:jc w:val="left"/>
            </w:pPr>
            <w:r>
              <w:t xml:space="preserve">1.00</w:t>
            </w:r>
          </w:p>
        </w:tc>
        <w:tc>
          <w:tcPr/>
          <w:p>
            <w:pPr>
              <w:pStyle w:val="Compact"/>
              <w:jc w:val="left"/>
            </w:pPr>
            <w:r>
              <w:t xml:space="preserve">0.296</w:t>
            </w:r>
          </w:p>
        </w:tc>
        <w:tc>
          <w:tcPr/>
          <w:p>
            <w:pPr>
              <w:pStyle w:val="Compact"/>
              <w:jc w:val="left"/>
            </w:pPr>
            <w:r>
              <w:t xml:space="preserve">0.163</w:t>
            </w:r>
          </w:p>
        </w:tc>
        <w:tc>
          <w:tcPr/>
          <w:p>
            <w:pPr>
              <w:pStyle w:val="Compact"/>
              <w:jc w:val="left"/>
            </w:pPr>
            <w:r>
              <w:t xml:space="preserve">5.782</w:t>
            </w:r>
          </w:p>
        </w:tc>
        <w:tc>
          <w:tcPr/>
          <w:p>
            <w:pPr>
              <w:pStyle w:val="Compact"/>
              <w:jc w:val="left"/>
            </w:pPr>
            <w:r>
              <w:t xml:space="preserve">0.016</w:t>
            </w:r>
          </w:p>
        </w:tc>
      </w:tr>
      <w:tr>
        <w:tc>
          <w:tcPr/>
          <w:p>
            <w:pPr>
              <w:pStyle w:val="Compact"/>
              <w:jc w:val="left"/>
            </w:pPr>
            <w:r>
              <w:t xml:space="preserve">1.42</w:t>
            </w:r>
          </w:p>
        </w:tc>
        <w:tc>
          <w:tcPr/>
          <w:p>
            <w:pPr>
              <w:pStyle w:val="Compact"/>
              <w:jc w:val="left"/>
            </w:pPr>
            <w:r>
              <w:t xml:space="preserve">0.296</w:t>
            </w:r>
          </w:p>
        </w:tc>
        <w:tc>
          <w:tcPr/>
          <w:p>
            <w:pPr>
              <w:pStyle w:val="Compact"/>
              <w:jc w:val="left"/>
            </w:pPr>
            <w:r>
              <w:t xml:space="preserve">0.160</w:t>
            </w:r>
          </w:p>
        </w:tc>
        <w:tc>
          <w:tcPr/>
          <w:p>
            <w:pPr>
              <w:pStyle w:val="Compact"/>
              <w:jc w:val="left"/>
            </w:pPr>
            <w:r>
              <w:t xml:space="preserve">3.977</w:t>
            </w:r>
          </w:p>
        </w:tc>
        <w:tc>
          <w:tcPr/>
          <w:p>
            <w:pPr>
              <w:pStyle w:val="Compact"/>
              <w:jc w:val="left"/>
            </w:pPr>
            <w:r>
              <w:t xml:space="preserve">0.046</w:t>
            </w:r>
          </w:p>
        </w:tc>
      </w:tr>
      <w:tr>
        <w:tc>
          <w:tcPr/>
          <w:p>
            <w:pPr>
              <w:pStyle w:val="Compact"/>
              <w:jc w:val="left"/>
            </w:pPr>
            <w:r>
              <w:t xml:space="preserve">2.00</w:t>
            </w:r>
          </w:p>
        </w:tc>
        <w:tc>
          <w:tcPr/>
          <w:p>
            <w:pPr>
              <w:pStyle w:val="Compact"/>
              <w:jc w:val="left"/>
            </w:pPr>
            <w:r>
              <w:t xml:space="preserve">0.296</w:t>
            </w:r>
          </w:p>
        </w:tc>
        <w:tc>
          <w:tcPr/>
          <w:p>
            <w:pPr>
              <w:pStyle w:val="Compact"/>
              <w:jc w:val="left"/>
            </w:pPr>
            <w:r>
              <w:t xml:space="preserve">0.210</w:t>
            </w:r>
          </w:p>
        </w:tc>
        <w:tc>
          <w:tcPr/>
          <w:p>
            <w:pPr>
              <w:pStyle w:val="Compact"/>
              <w:jc w:val="left"/>
            </w:pPr>
            <w:r>
              <w:t xml:space="preserve">3.532</w:t>
            </w:r>
          </w:p>
        </w:tc>
        <w:tc>
          <w:tcPr/>
          <w:p>
            <w:pPr>
              <w:pStyle w:val="Compact"/>
              <w:jc w:val="left"/>
            </w:pPr>
            <w:r>
              <w:t xml:space="preserve">0.060</w:t>
            </w:r>
          </w:p>
        </w:tc>
      </w:tr>
      <w:tr>
        <w:tc>
          <w:tcPr/>
          <w:p>
            <w:pPr>
              <w:pStyle w:val="Compact"/>
              <w:jc w:val="left"/>
            </w:pPr>
            <w:r>
              <w:t xml:space="preserve">2.84</w:t>
            </w:r>
          </w:p>
        </w:tc>
        <w:tc>
          <w:tcPr/>
          <w:p>
            <w:pPr>
              <w:pStyle w:val="Compact"/>
              <w:jc w:val="left"/>
            </w:pPr>
            <w:r>
              <w:t xml:space="preserve">0.296</w:t>
            </w:r>
          </w:p>
        </w:tc>
        <w:tc>
          <w:tcPr/>
          <w:p>
            <w:pPr>
              <w:pStyle w:val="Compact"/>
              <w:jc w:val="left"/>
            </w:pPr>
            <w:r>
              <w:t xml:space="preserve">0.217</w:t>
            </w:r>
          </w:p>
        </w:tc>
        <w:tc>
          <w:tcPr/>
          <w:p>
            <w:pPr>
              <w:pStyle w:val="Compact"/>
              <w:jc w:val="left"/>
            </w:pPr>
            <w:r>
              <w:t xml:space="preserve">2.942</w:t>
            </w:r>
          </w:p>
        </w:tc>
        <w:tc>
          <w:tcPr/>
          <w:p>
            <w:pPr>
              <w:pStyle w:val="Compact"/>
              <w:jc w:val="left"/>
            </w:pPr>
            <w:r>
              <w:t xml:space="preserve">0.086</w:t>
            </w:r>
          </w:p>
        </w:tc>
      </w:tr>
      <w:tr>
        <w:tc>
          <w:tcPr/>
          <w:p>
            <w:pPr>
              <w:pStyle w:val="Compact"/>
              <w:jc w:val="left"/>
            </w:pPr>
            <w:r>
              <w:t xml:space="preserve">3.00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2.378</w:t>
            </w:r>
          </w:p>
        </w:tc>
        <w:tc>
          <w:tcPr/>
          <w:p>
            <w:pPr>
              <w:pStyle w:val="Compact"/>
              <w:jc w:val="left"/>
            </w:pPr>
            <w:r>
              <w:t xml:space="preserve">0.123</w:t>
            </w:r>
          </w:p>
        </w:tc>
      </w:tr>
      <w:tr>
        <w:tc>
          <w:tcPr/>
          <w:p>
            <w:pPr>
              <w:pStyle w:val="Compact"/>
              <w:jc w:val="left"/>
            </w:pPr>
            <w:r>
              <w:t xml:space="preserve">4.00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2.793</w:t>
            </w:r>
          </w:p>
        </w:tc>
        <w:tc>
          <w:tcPr/>
          <w:p>
            <w:pPr>
              <w:pStyle w:val="Compact"/>
              <w:jc w:val="left"/>
            </w:pPr>
            <w:r>
              <w:t xml:space="preserve">0.095</w:t>
            </w:r>
          </w:p>
        </w:tc>
      </w:tr>
      <w:tr>
        <w:tc>
          <w:tcPr/>
          <w:p>
            <w:pPr>
              <w:pStyle w:val="Compact"/>
              <w:jc w:val="left"/>
            </w:pPr>
            <w:r>
              <w:t xml:space="preserve">4.25</w:t>
            </w:r>
          </w:p>
        </w:tc>
        <w:tc>
          <w:tcPr/>
          <w:p>
            <w:pPr>
              <w:pStyle w:val="Compact"/>
              <w:jc w:val="left"/>
            </w:pPr>
            <w:r>
              <w:t xml:space="preserve">0.296</w:t>
            </w:r>
          </w:p>
        </w:tc>
        <w:tc>
          <w:tcPr/>
          <w:p>
            <w:pPr>
              <w:pStyle w:val="Compact"/>
              <w:jc w:val="left"/>
            </w:pPr>
            <w:r>
              <w:t xml:space="preserve">0.105</w:t>
            </w:r>
          </w:p>
        </w:tc>
        <w:tc>
          <w:tcPr/>
          <w:p>
            <w:pPr>
              <w:pStyle w:val="Compact"/>
              <w:jc w:val="left"/>
            </w:pPr>
            <w:r>
              <w:t xml:space="preserve">0.399</w:t>
            </w:r>
          </w:p>
        </w:tc>
        <w:tc>
          <w:tcPr/>
          <w:p>
            <w:pPr>
              <w:pStyle w:val="Compact"/>
              <w:jc w:val="left"/>
            </w:pPr>
            <w:r>
              <w:t xml:space="preserve">0.528</w:t>
            </w:r>
          </w:p>
        </w:tc>
      </w:tr>
    </w:tbl>
    <w:p>
      <w:pPr>
        <w:numPr>
          <w:ilvl w:val="0"/>
          <w:numId w:val="1012"/>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0.166</w:t>
            </w:r>
          </w:p>
        </w:tc>
        <w:tc>
          <w:tcPr/>
          <w:p>
            <w:pPr>
              <w:pStyle w:val="Compact"/>
              <w:jc w:val="left"/>
            </w:pPr>
            <w:r>
              <w:t xml:space="preserve">0.000</w:t>
            </w:r>
          </w:p>
        </w:tc>
        <w:tc>
          <w:tcPr/>
          <w:p>
            <w:pPr>
              <w:pStyle w:val="Compact"/>
              <w:jc w:val="left"/>
            </w:pPr>
            <w:r>
              <w:t xml:space="preserve">2.598</w:t>
            </w:r>
          </w:p>
        </w:tc>
        <w:tc>
          <w:tcPr/>
          <w:p>
            <w:pPr>
              <w:pStyle w:val="Compact"/>
              <w:jc w:val="left"/>
            </w:pPr>
            <w:r>
              <w:t xml:space="preserve">0.107</w:t>
            </w:r>
          </w:p>
        </w:tc>
      </w:tr>
      <w:tr>
        <w:tc>
          <w:tcPr/>
          <w:p>
            <w:pPr>
              <w:pStyle w:val="Compact"/>
              <w:jc w:val="left"/>
            </w:pPr>
            <w:r>
              <w:t xml:space="preserve">1.00</w:t>
            </w:r>
          </w:p>
        </w:tc>
        <w:tc>
          <w:tcPr/>
          <w:p>
            <w:pPr>
              <w:pStyle w:val="Compact"/>
              <w:jc w:val="left"/>
            </w:pPr>
            <w:r>
              <w:t xml:space="preserve">0.166</w:t>
            </w:r>
          </w:p>
        </w:tc>
        <w:tc>
          <w:tcPr/>
          <w:p>
            <w:pPr>
              <w:pStyle w:val="Compact"/>
              <w:jc w:val="left"/>
            </w:pPr>
            <w:r>
              <w:t xml:space="preserve">0.145</w:t>
            </w:r>
          </w:p>
        </w:tc>
        <w:tc>
          <w:tcPr/>
          <w:p>
            <w:pPr>
              <w:pStyle w:val="Compact"/>
              <w:jc w:val="left"/>
            </w:pPr>
            <w:r>
              <w:t xml:space="preserve">2.449</w:t>
            </w:r>
          </w:p>
        </w:tc>
        <w:tc>
          <w:tcPr/>
          <w:p>
            <w:pPr>
              <w:pStyle w:val="Compact"/>
              <w:jc w:val="left"/>
            </w:pPr>
            <w:r>
              <w:t xml:space="preserve">0.118</w:t>
            </w:r>
          </w:p>
        </w:tc>
      </w:tr>
      <w:tr>
        <w:tc>
          <w:tcPr/>
          <w:p>
            <w:pPr>
              <w:pStyle w:val="Compact"/>
              <w:jc w:val="left"/>
            </w:pPr>
            <w:r>
              <w:t xml:space="preserve">1.42</w:t>
            </w:r>
          </w:p>
        </w:tc>
        <w:tc>
          <w:tcPr/>
          <w:p>
            <w:pPr>
              <w:pStyle w:val="Compact"/>
              <w:jc w:val="left"/>
            </w:pPr>
            <w:r>
              <w:t xml:space="preserve">0.166</w:t>
            </w:r>
          </w:p>
        </w:tc>
        <w:tc>
          <w:tcPr/>
          <w:p>
            <w:pPr>
              <w:pStyle w:val="Compact"/>
              <w:jc w:val="left"/>
            </w:pPr>
            <w:r>
              <w:t xml:space="preserve">0.207</w:t>
            </w:r>
          </w:p>
        </w:tc>
        <w:tc>
          <w:tcPr/>
          <w:p>
            <w:pPr>
              <w:pStyle w:val="Compact"/>
              <w:jc w:val="left"/>
            </w:pPr>
            <w:r>
              <w:t xml:space="preserve">4.117</w:t>
            </w:r>
          </w:p>
        </w:tc>
        <w:tc>
          <w:tcPr/>
          <w:p>
            <w:pPr>
              <w:pStyle w:val="Compact"/>
              <w:jc w:val="left"/>
            </w:pPr>
            <w:r>
              <w:t xml:space="preserve">0.042</w:t>
            </w:r>
          </w:p>
        </w:tc>
      </w:tr>
      <w:tr>
        <w:tc>
          <w:tcPr/>
          <w:p>
            <w:pPr>
              <w:pStyle w:val="Compact"/>
              <w:jc w:val="left"/>
            </w:pPr>
            <w:r>
              <w:t xml:space="preserve">2.00</w:t>
            </w:r>
          </w:p>
        </w:tc>
        <w:tc>
          <w:tcPr/>
          <w:p>
            <w:pPr>
              <w:pStyle w:val="Compact"/>
              <w:jc w:val="left"/>
            </w:pPr>
            <w:r>
              <w:t xml:space="preserve">0.166</w:t>
            </w:r>
          </w:p>
        </w:tc>
        <w:tc>
          <w:tcPr/>
          <w:p>
            <w:pPr>
              <w:pStyle w:val="Compact"/>
              <w:jc w:val="left"/>
            </w:pPr>
            <w:r>
              <w:t xml:space="preserve">0.313</w:t>
            </w:r>
          </w:p>
        </w:tc>
        <w:tc>
          <w:tcPr/>
          <w:p>
            <w:pPr>
              <w:pStyle w:val="Compact"/>
              <w:jc w:val="left"/>
            </w:pPr>
            <w:r>
              <w:t xml:space="preserve">5.776</w:t>
            </w:r>
          </w:p>
        </w:tc>
        <w:tc>
          <w:tcPr/>
          <w:p>
            <w:pPr>
              <w:pStyle w:val="Compact"/>
              <w:jc w:val="left"/>
            </w:pPr>
            <w:r>
              <w:t xml:space="preserve">0.016</w:t>
            </w:r>
          </w:p>
        </w:tc>
      </w:tr>
      <w:tr>
        <w:tc>
          <w:tcPr/>
          <w:p>
            <w:pPr>
              <w:pStyle w:val="Compact"/>
              <w:jc w:val="left"/>
            </w:pPr>
            <w:r>
              <w:t xml:space="preserve">2.84</w:t>
            </w:r>
          </w:p>
        </w:tc>
        <w:tc>
          <w:tcPr/>
          <w:p>
            <w:pPr>
              <w:pStyle w:val="Compact"/>
              <w:jc w:val="left"/>
            </w:pPr>
            <w:r>
              <w:t xml:space="preserve">0.166</w:t>
            </w:r>
          </w:p>
        </w:tc>
        <w:tc>
          <w:tcPr/>
          <w:p>
            <w:pPr>
              <w:pStyle w:val="Compact"/>
              <w:jc w:val="left"/>
            </w:pPr>
            <w:r>
              <w:t xml:space="preserve">0.212</w:t>
            </w:r>
          </w:p>
        </w:tc>
        <w:tc>
          <w:tcPr/>
          <w:p>
            <w:pPr>
              <w:pStyle w:val="Compact"/>
              <w:jc w:val="left"/>
            </w:pPr>
            <w:r>
              <w:t xml:space="preserve">1.881</w:t>
            </w:r>
          </w:p>
        </w:tc>
        <w:tc>
          <w:tcPr/>
          <w:p>
            <w:pPr>
              <w:pStyle w:val="Compact"/>
              <w:jc w:val="left"/>
            </w:pPr>
            <w:r>
              <w:t xml:space="preserve">0.170</w:t>
            </w:r>
          </w:p>
        </w:tc>
      </w:tr>
      <w:tr>
        <w:tc>
          <w:tcPr/>
          <w:p>
            <w:pPr>
              <w:pStyle w:val="Compact"/>
              <w:jc w:val="left"/>
            </w:pPr>
            <w:r>
              <w:t xml:space="preserve">3.00</w:t>
            </w:r>
          </w:p>
        </w:tc>
        <w:tc>
          <w:tcPr/>
          <w:p>
            <w:pPr>
              <w:pStyle w:val="Compact"/>
              <w:jc w:val="left"/>
            </w:pPr>
            <w:r>
              <w:t xml:space="preserve">0.166</w:t>
            </w:r>
          </w:p>
        </w:tc>
        <w:tc>
          <w:tcPr/>
          <w:p>
            <w:pPr>
              <w:pStyle w:val="Compact"/>
              <w:jc w:val="left"/>
            </w:pPr>
            <w:r>
              <w:t xml:space="preserve">0.227</w:t>
            </w:r>
          </w:p>
        </w:tc>
        <w:tc>
          <w:tcPr/>
          <w:p>
            <w:pPr>
              <w:pStyle w:val="Compact"/>
              <w:jc w:val="left"/>
            </w:pPr>
            <w:r>
              <w:t xml:space="preserve">1.448</w:t>
            </w:r>
          </w:p>
        </w:tc>
        <w:tc>
          <w:tcPr/>
          <w:p>
            <w:pPr>
              <w:pStyle w:val="Compact"/>
              <w:jc w:val="left"/>
            </w:pPr>
            <w:r>
              <w:t xml:space="preserve">0.229</w:t>
            </w:r>
          </w:p>
        </w:tc>
      </w:tr>
      <w:tr>
        <w:tc>
          <w:tcPr/>
          <w:p>
            <w:pPr>
              <w:pStyle w:val="Compact"/>
              <w:jc w:val="left"/>
            </w:pPr>
            <w:r>
              <w:t xml:space="preserve">4.00</w:t>
            </w:r>
          </w:p>
        </w:tc>
        <w:tc>
          <w:tcPr/>
          <w:p>
            <w:pPr>
              <w:pStyle w:val="Compact"/>
              <w:jc w:val="left"/>
            </w:pPr>
            <w:r>
              <w:t xml:space="preserve">0.166</w:t>
            </w:r>
          </w:p>
        </w:tc>
        <w:tc>
          <w:tcPr/>
          <w:p>
            <w:pPr>
              <w:pStyle w:val="Compact"/>
              <w:jc w:val="left"/>
            </w:pPr>
            <w:r>
              <w:t xml:space="preserve">0.093</w:t>
            </w:r>
          </w:p>
        </w:tc>
        <w:tc>
          <w:tcPr/>
          <w:p>
            <w:pPr>
              <w:pStyle w:val="Compact"/>
              <w:jc w:val="left"/>
            </w:pPr>
            <w:r>
              <w:t xml:space="preserve">0.150</w:t>
            </w:r>
          </w:p>
        </w:tc>
        <w:tc>
          <w:tcPr/>
          <w:p>
            <w:pPr>
              <w:pStyle w:val="Compact"/>
              <w:jc w:val="left"/>
            </w:pPr>
            <w:r>
              <w:t xml:space="preserve">0.699</w:t>
            </w:r>
          </w:p>
        </w:tc>
      </w:tr>
      <w:tr>
        <w:tc>
          <w:tcPr/>
          <w:p>
            <w:pPr>
              <w:pStyle w:val="Compact"/>
              <w:jc w:val="left"/>
            </w:pPr>
            <w:r>
              <w:t xml:space="preserve">4.25</w:t>
            </w:r>
          </w:p>
        </w:tc>
        <w:tc>
          <w:tcPr/>
          <w:p>
            <w:pPr>
              <w:pStyle w:val="Compact"/>
              <w:jc w:val="left"/>
            </w:pPr>
            <w:r>
              <w:t xml:space="preserve">0.166</w:t>
            </w:r>
          </w:p>
        </w:tc>
        <w:tc>
          <w:tcPr/>
          <w:p>
            <w:pPr>
              <w:pStyle w:val="Compact"/>
              <w:jc w:val="left"/>
            </w:pPr>
            <w:r>
              <w:t xml:space="preserve">0.060</w:t>
            </w:r>
          </w:p>
        </w:tc>
        <w:tc>
          <w:tcPr/>
          <w:p>
            <w:pPr>
              <w:pStyle w:val="Compact"/>
              <w:jc w:val="left"/>
            </w:pPr>
            <w:r>
              <w:t xml:space="preserve">0.044</w:t>
            </w:r>
          </w:p>
        </w:tc>
        <w:tc>
          <w:tcPr/>
          <w:p>
            <w:pPr>
              <w:pStyle w:val="Compact"/>
              <w:jc w:val="left"/>
            </w:pPr>
            <w:r>
              <w:t xml:space="preserve">0.833</w:t>
            </w:r>
          </w:p>
        </w:tc>
      </w:tr>
    </w:tbl>
    <w:p>
      <w:pPr>
        <w:numPr>
          <w:ilvl w:val="0"/>
          <w:numId w:val="1013"/>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0.511</w:t>
            </w:r>
          </w:p>
        </w:tc>
        <w:tc>
          <w:tcPr/>
          <w:p>
            <w:pPr>
              <w:pStyle w:val="Compact"/>
              <w:jc w:val="left"/>
            </w:pPr>
            <w:r>
              <w:t xml:space="preserve">0.000</w:t>
            </w:r>
          </w:p>
        </w:tc>
        <w:tc>
          <w:tcPr/>
          <w:p>
            <w:pPr>
              <w:pStyle w:val="Compact"/>
              <w:jc w:val="left"/>
            </w:pPr>
            <w:r>
              <w:t xml:space="preserve">14.292</w:t>
            </w:r>
          </w:p>
        </w:tc>
        <w:tc>
          <w:tcPr/>
          <w:p>
            <w:pPr>
              <w:pStyle w:val="Compact"/>
              <w:jc w:val="left"/>
            </w:pPr>
            <w:r>
              <w:t xml:space="preserve">0.0002</w:t>
            </w:r>
          </w:p>
        </w:tc>
      </w:tr>
      <w:tr>
        <w:tc>
          <w:tcPr/>
          <w:p>
            <w:pPr>
              <w:pStyle w:val="Compact"/>
              <w:jc w:val="left"/>
            </w:pPr>
            <w:r>
              <w:t xml:space="preserve">1.00</w:t>
            </w:r>
          </w:p>
        </w:tc>
        <w:tc>
          <w:tcPr/>
          <w:p>
            <w:pPr>
              <w:pStyle w:val="Compact"/>
              <w:jc w:val="left"/>
            </w:pPr>
            <w:r>
              <w:t xml:space="preserve">0.511</w:t>
            </w:r>
          </w:p>
        </w:tc>
        <w:tc>
          <w:tcPr/>
          <w:p>
            <w:pPr>
              <w:pStyle w:val="Compact"/>
              <w:jc w:val="left"/>
            </w:pPr>
            <w:r>
              <w:t xml:space="preserve">0.224</w:t>
            </w:r>
          </w:p>
        </w:tc>
        <w:tc>
          <w:tcPr/>
          <w:p>
            <w:pPr>
              <w:pStyle w:val="Compact"/>
              <w:jc w:val="left"/>
            </w:pPr>
            <w:r>
              <w:t xml:space="preserve">27.382</w:t>
            </w:r>
          </w:p>
        </w:tc>
        <w:tc>
          <w:tcPr/>
          <w:p>
            <w:pPr>
              <w:pStyle w:val="Compact"/>
              <w:jc w:val="left"/>
            </w:pPr>
            <w:r>
              <w:t xml:space="preserve">1.67E-07</w:t>
            </w:r>
          </w:p>
        </w:tc>
      </w:tr>
      <w:tr>
        <w:tc>
          <w:tcPr/>
          <w:p>
            <w:pPr>
              <w:pStyle w:val="Compact"/>
              <w:jc w:val="left"/>
            </w:pPr>
            <w:r>
              <w:t xml:space="preserve">1.42</w:t>
            </w:r>
          </w:p>
        </w:tc>
        <w:tc>
          <w:tcPr/>
          <w:p>
            <w:pPr>
              <w:pStyle w:val="Compact"/>
              <w:jc w:val="left"/>
            </w:pPr>
            <w:r>
              <w:t xml:space="preserve">0.511</w:t>
            </w:r>
          </w:p>
        </w:tc>
        <w:tc>
          <w:tcPr/>
          <w:p>
            <w:pPr>
              <w:pStyle w:val="Compact"/>
              <w:jc w:val="left"/>
            </w:pPr>
            <w:r>
              <w:t xml:space="preserve">0.118</w:t>
            </w:r>
          </w:p>
        </w:tc>
        <w:tc>
          <w:tcPr/>
          <w:p>
            <w:pPr>
              <w:pStyle w:val="Compact"/>
              <w:jc w:val="left"/>
            </w:pPr>
            <w:r>
              <w:t xml:space="preserve">13.395</w:t>
            </w:r>
          </w:p>
        </w:tc>
        <w:tc>
          <w:tcPr/>
          <w:p>
            <w:pPr>
              <w:pStyle w:val="Compact"/>
              <w:jc w:val="left"/>
            </w:pPr>
            <w:r>
              <w:t xml:space="preserve">0.0003</w:t>
            </w:r>
          </w:p>
        </w:tc>
      </w:tr>
      <w:tr>
        <w:tc>
          <w:tcPr/>
          <w:p>
            <w:pPr>
              <w:pStyle w:val="Compact"/>
              <w:jc w:val="left"/>
            </w:pPr>
            <w:r>
              <w:t xml:space="preserve">2.00</w:t>
            </w:r>
          </w:p>
        </w:tc>
        <w:tc>
          <w:tcPr/>
          <w:p>
            <w:pPr>
              <w:pStyle w:val="Compact"/>
              <w:jc w:val="left"/>
            </w:pPr>
            <w:r>
              <w:t xml:space="preserve">0.511</w:t>
            </w:r>
          </w:p>
        </w:tc>
        <w:tc>
          <w:tcPr/>
          <w:p>
            <w:pPr>
              <w:pStyle w:val="Compact"/>
              <w:jc w:val="left"/>
            </w:pPr>
            <w:r>
              <w:t xml:space="preserve">0.200</w:t>
            </w:r>
          </w:p>
        </w:tc>
        <w:tc>
          <w:tcPr/>
          <w:p>
            <w:pPr>
              <w:pStyle w:val="Compact"/>
              <w:jc w:val="left"/>
            </w:pPr>
            <w:r>
              <w:t xml:space="preserve">15.411</w:t>
            </w:r>
          </w:p>
        </w:tc>
        <w:tc>
          <w:tcPr/>
          <w:p>
            <w:pPr>
              <w:pStyle w:val="Compact"/>
              <w:jc w:val="left"/>
            </w:pPr>
            <w:r>
              <w:t xml:space="preserve">8.65E-05</w:t>
            </w:r>
          </w:p>
        </w:tc>
      </w:tr>
      <w:tr>
        <w:tc>
          <w:tcPr/>
          <w:p>
            <w:pPr>
              <w:pStyle w:val="Compact"/>
              <w:jc w:val="left"/>
            </w:pPr>
            <w:r>
              <w:t xml:space="preserve">2.84</w:t>
            </w:r>
          </w:p>
        </w:tc>
        <w:tc>
          <w:tcPr/>
          <w:p>
            <w:pPr>
              <w:pStyle w:val="Compact"/>
              <w:jc w:val="left"/>
            </w:pPr>
            <w:r>
              <w:t xml:space="preserve">0.511</w:t>
            </w:r>
          </w:p>
        </w:tc>
        <w:tc>
          <w:tcPr/>
          <w:p>
            <w:pPr>
              <w:pStyle w:val="Compact"/>
              <w:jc w:val="left"/>
            </w:pPr>
            <w:r>
              <w:t xml:space="preserve">0.124</w:t>
            </w:r>
          </w:p>
        </w:tc>
        <w:tc>
          <w:tcPr/>
          <w:p>
            <w:pPr>
              <w:pStyle w:val="Compact"/>
              <w:jc w:val="left"/>
            </w:pPr>
            <w:r>
              <w:t xml:space="preserve">5.958</w:t>
            </w:r>
          </w:p>
        </w:tc>
        <w:tc>
          <w:tcPr/>
          <w:p>
            <w:pPr>
              <w:pStyle w:val="Compact"/>
              <w:jc w:val="left"/>
            </w:pPr>
            <w:r>
              <w:t xml:space="preserve">0.0147</w:t>
            </w:r>
          </w:p>
        </w:tc>
      </w:tr>
      <w:tr>
        <w:tc>
          <w:tcPr/>
          <w:p>
            <w:pPr>
              <w:pStyle w:val="Compact"/>
              <w:jc w:val="left"/>
            </w:pPr>
            <w:r>
              <w:t xml:space="preserve">3.00</w:t>
            </w:r>
          </w:p>
        </w:tc>
        <w:tc>
          <w:tcPr/>
          <w:p>
            <w:pPr>
              <w:pStyle w:val="Compact"/>
              <w:jc w:val="left"/>
            </w:pPr>
            <w:r>
              <w:t xml:space="preserve">0.511</w:t>
            </w:r>
          </w:p>
        </w:tc>
        <w:tc>
          <w:tcPr/>
          <w:p>
            <w:pPr>
              <w:pStyle w:val="Compact"/>
              <w:jc w:val="left"/>
            </w:pPr>
            <w:r>
              <w:t xml:space="preserve">0.158</w:t>
            </w:r>
          </w:p>
        </w:tc>
        <w:tc>
          <w:tcPr/>
          <w:p>
            <w:pPr>
              <w:pStyle w:val="Compact"/>
              <w:jc w:val="left"/>
            </w:pPr>
            <w:r>
              <w:t xml:space="preserve">8.134</w:t>
            </w:r>
          </w:p>
        </w:tc>
        <w:tc>
          <w:tcPr/>
          <w:p>
            <w:pPr>
              <w:pStyle w:val="Compact"/>
              <w:jc w:val="left"/>
            </w:pPr>
            <w:r>
              <w:t xml:space="preserve">0.0043</w:t>
            </w:r>
          </w:p>
        </w:tc>
      </w:tr>
      <w:tr>
        <w:tc>
          <w:tcPr/>
          <w:p>
            <w:pPr>
              <w:pStyle w:val="Compact"/>
              <w:jc w:val="left"/>
            </w:pPr>
            <w:r>
              <w:t xml:space="preserve">4.00</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9.314</w:t>
            </w:r>
          </w:p>
        </w:tc>
        <w:tc>
          <w:tcPr/>
          <w:p>
            <w:pPr>
              <w:pStyle w:val="Compact"/>
              <w:jc w:val="left"/>
            </w:pPr>
            <w:r>
              <w:t xml:space="preserve">0.0023</w:t>
            </w:r>
          </w:p>
        </w:tc>
      </w:tr>
      <w:tr>
        <w:tc>
          <w:tcPr/>
          <w:p>
            <w:pPr>
              <w:pStyle w:val="Compact"/>
              <w:jc w:val="left"/>
            </w:pPr>
            <w:r>
              <w:t xml:space="preserve">4.25</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7.883</w:t>
            </w:r>
          </w:p>
        </w:tc>
        <w:tc>
          <w:tcPr/>
          <w:p>
            <w:pPr>
              <w:pStyle w:val="Compact"/>
              <w:jc w:val="left"/>
            </w:pPr>
            <w:r>
              <w:t xml:space="preserve">0.0050</w:t>
            </w:r>
          </w:p>
        </w:tc>
      </w:tr>
    </w:tbl>
    <w:p>
      <w:pPr>
        <w:numPr>
          <w:ilvl w:val="0"/>
          <w:numId w:val="1014"/>
        </w:numPr>
        <w:pStyle w:val="Compact"/>
      </w:pPr>
      <w:r>
        <w:t xml:space="preserve">Table S4. List of top-hit SNPs at each spatial scale</w:t>
      </w:r>
    </w:p>
    <w:bookmarkEnd w:id="61"/>
    <w:bookmarkStart w:id="93" w:name="references"/>
    <w:p>
      <w:pPr>
        <w:pStyle w:val="Heading1"/>
      </w:pPr>
      <w:r>
        <w:t xml:space="preserve">References</w:t>
      </w:r>
    </w:p>
    <w:bookmarkStart w:id="92" w:name="refs"/>
    <w:bookmarkStart w:id="63" w:name="ref-ayres_beagle_2019"/>
    <w:p>
      <w:pPr>
        <w:pStyle w:val="Bibliography"/>
      </w:pPr>
      <w:r>
        <w:t xml:space="preserve">Ayres, D. L., M. P. Cummings, G. Baele, A. E. Darling, P. O. Lewis</w:t>
      </w:r>
      <w:r>
        <w:t xml:space="preserve"> </w:t>
      </w:r>
      <w:r>
        <w:rPr>
          <w:iCs/>
          <w:i/>
        </w:rPr>
        <w:t xml:space="preserve">et al.</w:t>
      </w:r>
      <w:r>
        <w:t xml:space="preserve">, 2019</w:t>
      </w:r>
      <w:r>
        <w:t xml:space="preserve"> </w:t>
      </w:r>
      <w:hyperlink r:id="rId62">
        <w:r>
          <w:rPr>
            <w:rStyle w:val="Hyperlink"/>
          </w:rPr>
          <w:t xml:space="preserve">BEAGLE</w:t>
        </w:r>
        <w:r>
          <w:rPr>
            <w:rStyle w:val="Hyperlink"/>
          </w:rPr>
          <w:t xml:space="preserve"> </w:t>
        </w:r>
        <w:r>
          <w:rPr>
            <w:rStyle w:val="Hyperlink"/>
          </w:rPr>
          <w:t xml:space="preserve">3:</w:t>
        </w:r>
        <w:r>
          <w:rPr>
            <w:rStyle w:val="Hyperlink"/>
          </w:rPr>
          <w:t xml:space="preserve"> </w:t>
        </w:r>
        <w:r>
          <w:rPr>
            <w:rStyle w:val="Hyperlink"/>
          </w:rPr>
          <w:t xml:space="preserve">Improved</w:t>
        </w:r>
        <w:r>
          <w:rPr>
            <w:rStyle w:val="Hyperlink"/>
          </w:rPr>
          <w:t xml:space="preserve"> </w:t>
        </w:r>
        <w:r>
          <w:rPr>
            <w:rStyle w:val="Hyperlink"/>
          </w:rPr>
          <w:t xml:space="preserve">Performance</w:t>
        </w:r>
        <w:r>
          <w:rPr>
            <w:rStyle w:val="Hyperlink"/>
          </w:rPr>
          <w:t xml:space="preserve">,</w:t>
        </w:r>
        <w:r>
          <w:rPr>
            <w:rStyle w:val="Hyperlink"/>
          </w:rPr>
          <w:t xml:space="preserve"> </w:t>
        </w:r>
        <w:r>
          <w:rPr>
            <w:rStyle w:val="Hyperlink"/>
          </w:rPr>
          <w:t xml:space="preserve">Scaling</w:t>
        </w:r>
        <w:r>
          <w:rPr>
            <w:rStyle w:val="Hyperlink"/>
          </w:rPr>
          <w:t xml:space="preserve">, and</w:t>
        </w:r>
        <w:r>
          <w:rPr>
            <w:rStyle w:val="Hyperlink"/>
          </w:rPr>
          <w:t xml:space="preserve"> </w:t>
        </w:r>
        <w:r>
          <w:rPr>
            <w:rStyle w:val="Hyperlink"/>
          </w:rPr>
          <w:t xml:space="preserve">Usability</w:t>
        </w:r>
        <w:r>
          <w:rPr>
            <w:rStyle w:val="Hyperlink"/>
          </w:rPr>
          <w:t xml:space="preserve"> </w:t>
        </w:r>
        <w:r>
          <w:rPr>
            <w:rStyle w:val="Hyperlink"/>
          </w:rPr>
          <w:t xml:space="preserve">for a</w:t>
        </w:r>
        <w:r>
          <w:rPr>
            <w:rStyle w:val="Hyperlink"/>
          </w:rPr>
          <w:t xml:space="preserve"> </w:t>
        </w:r>
        <w:r>
          <w:rPr>
            <w:rStyle w:val="Hyperlink"/>
          </w:rPr>
          <w:t xml:space="preserve">High</w:t>
        </w:r>
        <w:r>
          <w:rPr>
            <w:rStyle w:val="Hyperlink"/>
          </w:rPr>
          <w:t xml:space="preserve">-</w:t>
        </w:r>
        <w:r>
          <w:rPr>
            <w:rStyle w:val="Hyperlink"/>
          </w:rPr>
          <w:t xml:space="preserve">Performance</w:t>
        </w:r>
        <w:r>
          <w:rPr>
            <w:rStyle w:val="Hyperlink"/>
          </w:rPr>
          <w:t xml:space="preserve"> </w:t>
        </w:r>
        <w:r>
          <w:rPr>
            <w:rStyle w:val="Hyperlink"/>
          </w:rPr>
          <w:t xml:space="preserve">Computing</w:t>
        </w:r>
        <w:r>
          <w:rPr>
            <w:rStyle w:val="Hyperlink"/>
          </w:rPr>
          <w:t xml:space="preserve"> </w:t>
        </w:r>
        <w:r>
          <w:rPr>
            <w:rStyle w:val="Hyperlink"/>
          </w:rPr>
          <w:t xml:space="preserve">Library</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Phylogenetics</w:t>
        </w:r>
      </w:hyperlink>
      <w:r>
        <w:t xml:space="preserve"> </w:t>
      </w:r>
      <w:r>
        <w:t xml:space="preserve">(D. Posada, Ed.). Systematic Biology 68: 1052–1061.</w:t>
      </w:r>
    </w:p>
    <w:bookmarkEnd w:id="63"/>
    <w:bookmarkStart w:id="65" w:name="ref-costa_e_silva_genetic-based_2017"/>
    <w:p>
      <w:pPr>
        <w:pStyle w:val="Bibliography"/>
      </w:pPr>
      <w:r>
        <w:t xml:space="preserve">Costa e Silva, J., B. M. Potts, A. R. Gilmour, and R. J. Kerr, 2017</w:t>
      </w:r>
      <w:r>
        <w:t xml:space="preserve"> </w:t>
      </w:r>
      <w:hyperlink r:id="rId64">
        <w:r>
          <w:rPr>
            <w:rStyle w:val="Hyperlink"/>
          </w:rPr>
          <w:t xml:space="preserve">Genetic-based interactions among tree neighbors: Identification of the most influential neighbors, and estimation of correlations among direct and indirect genetic effects for leaf disease and growth in</w:t>
        </w:r>
        <w:r>
          <w:rPr>
            <w:rStyle w:val="Hyperlink"/>
          </w:rPr>
          <w:t xml:space="preserve"> </w:t>
        </w:r>
        <w:r>
          <w:rPr>
            <w:rStyle w:val="Hyperlink"/>
          </w:rPr>
          <w:t xml:space="preserve">Eucalyptus</w:t>
        </w:r>
        <w:r>
          <w:rPr>
            <w:rStyle w:val="Hyperlink"/>
          </w:rPr>
          <w:t xml:space="preserve"> </w:t>
        </w:r>
        <w:r>
          <w:rPr>
            <w:rStyle w:val="Hyperlink"/>
          </w:rPr>
          <w:t xml:space="preserve">globulus</w:t>
        </w:r>
      </w:hyperlink>
      <w:r>
        <w:t xml:space="preserve">. Heredity 119: 125–135.</w:t>
      </w:r>
    </w:p>
    <w:bookmarkEnd w:id="65"/>
    <w:bookmarkStart w:id="67" w:name="ref-montazeaud_cultivar_2022"/>
    <w:p>
      <w:pPr>
        <w:pStyle w:val="Bibliography"/>
      </w:pPr>
      <w:r>
        <w:t xml:space="preserve">Montazeaud, G., T. Flutre, E. Ballini, J. Morel, J. David</w:t>
      </w:r>
      <w:r>
        <w:t xml:space="preserve"> </w:t>
      </w:r>
      <w:r>
        <w:rPr>
          <w:iCs/>
          <w:i/>
        </w:rPr>
        <w:t xml:space="preserve">et al.</w:t>
      </w:r>
      <w:r>
        <w:t xml:space="preserve">, 2022</w:t>
      </w:r>
      <w:r>
        <w:t xml:space="preserve"> </w:t>
      </w:r>
      <w:hyperlink r:id="rId66">
        <w:r>
          <w:rPr>
            <w:rStyle w:val="Hyperlink"/>
          </w:rPr>
          <w:t xml:space="preserve">From cultivar mixtures to allelic mixtures: Opposite effects of allelic richness between genotypes and genotype richness in wheat</w:t>
        </w:r>
      </w:hyperlink>
      <w:r>
        <w:t xml:space="preserve">. New Phytologist 233: 2573–2584.</w:t>
      </w:r>
    </w:p>
    <w:bookmarkEnd w:id="67"/>
    <w:bookmarkStart w:id="69" w:name="ref-montazeaud_indirect_2023"/>
    <w:p>
      <w:pPr>
        <w:pStyle w:val="Bibliography"/>
      </w:pPr>
      <w:r>
        <w:t xml:space="preserve">Montazeaud, G., Q. Helleu, S. E. Wuest, and L. Keller, 2023</w:t>
      </w:r>
      <w:r>
        <w:t xml:space="preserve"> </w:t>
      </w:r>
      <w:hyperlink r:id="rId68">
        <w:r>
          <w:rPr>
            <w:rStyle w:val="Hyperlink"/>
          </w:rPr>
          <w:t xml:space="preserve">Indirect genetic effects are shaped by demographic history and ecology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7: 1878–1891.</w:t>
      </w:r>
    </w:p>
    <w:bookmarkEnd w:id="69"/>
    <w:bookmarkStart w:id="71" w:name="ref-Rgaston"/>
    <w:p>
      <w:pPr>
        <w:pStyle w:val="Bibliography"/>
      </w:pPr>
      <w:r>
        <w:t xml:space="preserve">Perdry, H., and C. Dandine-Roulland, 2022</w:t>
      </w:r>
      <w:r>
        <w:t xml:space="preserve"> </w:t>
      </w:r>
      <w:hyperlink r:id="rId70">
        <w:r>
          <w:rPr>
            <w:rStyle w:val="Hyperlink"/>
            <w:iCs/>
            <w:i/>
          </w:rPr>
          <w:t xml:space="preserve">Gaston: Genetic data handling (QC, GRM, LD, PCA) &amp; linear mixed models</w:t>
        </w:r>
      </w:hyperlink>
      <w:r>
        <w:t xml:space="preserve">.</w:t>
      </w:r>
    </w:p>
    <w:bookmarkEnd w:id="71"/>
    <w:bookmarkStart w:id="73"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72">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73"/>
    <w:bookmarkStart w:id="75" w:name="ref-rodriguez-alvarez_correcting_2018"/>
    <w:p>
      <w:pPr>
        <w:pStyle w:val="Bibliography"/>
      </w:pPr>
      <w:r>
        <w:t xml:space="preserve">Rodríguez-Álvarez, M. X., M. P. Boer, F. A. van Eeuwijk, and P. H. C. Eilers, 2018</w:t>
      </w:r>
      <w:r>
        <w:t xml:space="preserve"> </w:t>
      </w:r>
      <w:hyperlink r:id="rId74">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75"/>
    <w:bookmarkStart w:id="77"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76">
        <w:r>
          <w:rPr>
            <w:rStyle w:val="Hyperlink"/>
          </w:rPr>
          <w:t xml:space="preserve">Reducing herbivory in mixed planting by genomic prediction of neighbor effects in the field</w:t>
        </w:r>
      </w:hyperlink>
      <w:r>
        <w:t xml:space="preserve">. Nature Communications 15: 8467.</w:t>
      </w:r>
    </w:p>
    <w:bookmarkEnd w:id="77"/>
    <w:bookmarkStart w:id="79" w:name="ref-sato_genetics_2024"/>
    <w:p>
      <w:pPr>
        <w:pStyle w:val="Bibliography"/>
      </w:pPr>
      <w:r>
        <w:t xml:space="preserve">Sato, Y., and S. E. Wuest, 2024</w:t>
      </w:r>
      <w:r>
        <w:t xml:space="preserve"> </w:t>
      </w:r>
      <w:hyperlink r:id="rId78">
        <w:r>
          <w:rPr>
            <w:rStyle w:val="Hyperlink"/>
          </w:rPr>
          <w:t xml:space="preserve">The genetics of plant-plant interactions and their cascading effects on agroecosystem – from model plants to application</w:t>
        </w:r>
      </w:hyperlink>
      <w:r>
        <w:t xml:space="preserve">. Plant And Cell Physiology pcae092.</w:t>
      </w:r>
    </w:p>
    <w:bookmarkEnd w:id="79"/>
    <w:bookmarkStart w:id="81" w:name="ref-sato_neighbor_2021"/>
    <w:p>
      <w:pPr>
        <w:pStyle w:val="Bibliography"/>
      </w:pPr>
      <w:r>
        <w:t xml:space="preserve">Sato, Y., E. Yamamoto, K. K. Shimizu, and A. J. Nagano, 2021</w:t>
      </w:r>
      <w:r>
        <w:t xml:space="preserve"> </w:t>
      </w:r>
      <w:hyperlink r:id="rId80">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81"/>
    <w:bookmarkStart w:id="83"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82">
        <w:r>
          <w:rPr>
            <w:rStyle w:val="Hyperlink"/>
          </w:rPr>
          <w:t xml:space="preserve">Plant size, latitude, and phylogeny explain within-population variability in herbivory</w:t>
        </w:r>
      </w:hyperlink>
      <w:r>
        <w:t xml:space="preserve">. Science 382: 679–683.</w:t>
      </w:r>
    </w:p>
    <w:bookmarkEnd w:id="83"/>
    <w:bookmarkStart w:id="85" w:name="ref-tibbs_cortes_status_2021"/>
    <w:p>
      <w:pPr>
        <w:pStyle w:val="Bibliography"/>
      </w:pPr>
      <w:r>
        <w:t xml:space="preserve">Tibbs Cortes, L., Z. Zhang, and J. Yu, 2021</w:t>
      </w:r>
      <w:r>
        <w:t xml:space="preserve"> </w:t>
      </w:r>
      <w:hyperlink r:id="rId84">
        <w:r>
          <w:rPr>
            <w:rStyle w:val="Hyperlink"/>
          </w:rPr>
          <w:t xml:space="preserve">Status and prospects of genome‐wide association studies in plants</w:t>
        </w:r>
      </w:hyperlink>
      <w:r>
        <w:t xml:space="preserve">. The Plant Genome 14:</w:t>
      </w:r>
    </w:p>
    <w:bookmarkEnd w:id="85"/>
    <w:bookmarkStart w:id="87" w:name="ref-tooker_genotypically_2012"/>
    <w:p>
      <w:pPr>
        <w:pStyle w:val="Bibliography"/>
      </w:pPr>
      <w:r>
        <w:t xml:space="preserve">Tooker, J. F., and S. D. Frank, 2012</w:t>
      </w:r>
      <w:r>
        <w:t xml:space="preserve"> </w:t>
      </w:r>
      <w:hyperlink r:id="rId86">
        <w:r>
          <w:rPr>
            <w:rStyle w:val="Hyperlink"/>
          </w:rPr>
          <w:t xml:space="preserve">Genotypically diverse cultivar mixtures for insect pest management and increased crop yields</w:t>
        </w:r>
      </w:hyperlink>
      <w:r>
        <w:t xml:space="preserve"> </w:t>
      </w:r>
      <w:r>
        <w:t xml:space="preserve">(I. Steffan-Dewenter, Ed.). Journal of Applied Ecology 49: 974–985.</w:t>
      </w:r>
    </w:p>
    <w:bookmarkEnd w:id="87"/>
    <w:bookmarkStart w:id="89" w:name="ref-wuest_ecological_2021"/>
    <w:p>
      <w:pPr>
        <w:pStyle w:val="Bibliography"/>
      </w:pPr>
      <w:r>
        <w:t xml:space="preserve">Wuest, S. E., R. Peter, and P. A. Niklaus, 2021</w:t>
      </w:r>
      <w:r>
        <w:t xml:space="preserve"> </w:t>
      </w:r>
      <w:hyperlink r:id="rId88">
        <w:r>
          <w:rPr>
            <w:rStyle w:val="Hyperlink"/>
          </w:rPr>
          <w:t xml:space="preserve">Ecological and evolutionary approaches to improving crop variety mixtures</w:t>
        </w:r>
      </w:hyperlink>
      <w:r>
        <w:t xml:space="preserve">. Nature Ecology &amp; Evolution 5: 1068–1077.</w:t>
      </w:r>
    </w:p>
    <w:bookmarkEnd w:id="89"/>
    <w:bookmarkStart w:id="91" w:name="ref-xu_genome-wide_2023"/>
    <w:p>
      <w:pPr>
        <w:pStyle w:val="Bibliography"/>
      </w:pPr>
      <w:r>
        <w:t xml:space="preserve">Xu, C., Y. Sato, M. Yamazaki, M. Brasser, M. A. Barbour</w:t>
      </w:r>
      <w:r>
        <w:t xml:space="preserve"> </w:t>
      </w:r>
      <w:r>
        <w:rPr>
          <w:iCs/>
          <w:i/>
        </w:rPr>
        <w:t xml:space="preserve">et al.</w:t>
      </w:r>
      <w:r>
        <w:t xml:space="preserve">, 2023</w:t>
      </w:r>
      <w:r>
        <w:t xml:space="preserve"> </w:t>
      </w:r>
      <w:hyperlink r:id="rId90">
        <w:r>
          <w:rPr>
            <w:rStyle w:val="Hyperlink"/>
          </w:rPr>
          <w:t xml:space="preserve">Genome-wide association study of aphid abundance highlights a locus affecting plant growth and flowering in</w:t>
        </w:r>
        <w:r>
          <w:rPr>
            <w:rStyle w:val="Hyperlink"/>
          </w:rPr>
          <w:t xml:space="preserve"> </w:t>
        </w:r>
        <w:r>
          <w:rPr>
            <w:rStyle w:val="Hyperlink"/>
            <w:iCs/>
            <w:i/>
          </w:rPr>
          <w:t xml:space="preserve">Arabidopsis</w:t>
        </w:r>
        <w:r>
          <w:rPr>
            <w:rStyle w:val="Hyperlink"/>
            <w:iCs/>
            <w:i/>
          </w:rPr>
          <w:t xml:space="preserve"> </w:t>
        </w:r>
        <w:r>
          <w:rPr>
            <w:rStyle w:val="Hyperlink"/>
            <w:iCs/>
            <w:i/>
          </w:rPr>
          <w:t xml:space="preserve">thaliana</w:t>
        </w:r>
      </w:hyperlink>
      <w:r>
        <w:t xml:space="preserve">. Royal Society Open Science 10: 230399.</w:t>
      </w:r>
    </w:p>
    <w:bookmarkEnd w:id="91"/>
    <w:bookmarkEnd w:id="92"/>
    <w:bookmarkEnd w:id="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df" /><Relationship Type="http://schemas.openxmlformats.org/officeDocument/2006/relationships/image" Id="rId48" Target="media/rId48.pdf" /><Relationship Type="http://schemas.openxmlformats.org/officeDocument/2006/relationships/image" Id="rId53" Target="media/rId53.pdf" /><Relationship Type="http://schemas.openxmlformats.org/officeDocument/2006/relationships/hyperlink" Id="rId57" Target="http://52.64.175.84:8080/gigwa/?module=caigebarley&amp;project=Barley_genotypic_data" TargetMode="External" /><Relationship Type="http://schemas.openxmlformats.org/officeDocument/2006/relationships/hyperlink" Id="rId70" Target="https://CRAN.R-project.org/package=gaston" TargetMode="External" /><Relationship Type="http://schemas.openxmlformats.org/officeDocument/2006/relationships/hyperlink" Id="rId84" Target="https://doi.org/10.1002/tpg2.20077" TargetMode="External" /><Relationship Type="http://schemas.openxmlformats.org/officeDocument/2006/relationships/hyperlink" Id="rId74" Target="https://doi.org/10.1016/j.spasta.2017.10.003" TargetMode="External" /><Relationship Type="http://schemas.openxmlformats.org/officeDocument/2006/relationships/hyperlink" Id="rId64" Target="https://doi.org/10.1038/hdy.2017.25" TargetMode="External" /><Relationship Type="http://schemas.openxmlformats.org/officeDocument/2006/relationships/hyperlink" Id="rId80" Target="https://doi.org/10.1038/s41437-020-00401-w" TargetMode="External" /><Relationship Type="http://schemas.openxmlformats.org/officeDocument/2006/relationships/hyperlink" Id="rId76" Target="https://doi.org/10.1038/s41467-024-52374-7" TargetMode="External" /><Relationship Type="http://schemas.openxmlformats.org/officeDocument/2006/relationships/hyperlink" Id="rId88" Target="https://doi.org/10.1038/s41559-021-01497-x" TargetMode="External" /><Relationship Type="http://schemas.openxmlformats.org/officeDocument/2006/relationships/hyperlink" Id="rId68" Target="https://doi.org/10.1038/s41559-023-02189-4" TargetMode="External" /><Relationship Type="http://schemas.openxmlformats.org/officeDocument/2006/relationships/hyperlink" Id="rId78" Target="https://doi.org/10.1093/pcp/pcae092" TargetMode="External" /><Relationship Type="http://schemas.openxmlformats.org/officeDocument/2006/relationships/hyperlink" Id="rId62" Target="https://doi.org/10.1093/sysbio/syz020" TargetMode="External" /><Relationship Type="http://schemas.openxmlformats.org/officeDocument/2006/relationships/hyperlink" Id="rId90" Target="https://doi.org/10.1098/rsos.230399" TargetMode="External" /><Relationship Type="http://schemas.openxmlformats.org/officeDocument/2006/relationships/hyperlink" Id="rId86" Target="https://doi.org/10.1111/j.1365-2664.2012.02173.x" TargetMode="External" /><Relationship Type="http://schemas.openxmlformats.org/officeDocument/2006/relationships/hyperlink" Id="rId66" Target="https://doi.org/10.1111/nph.17915" TargetMode="External" /><Relationship Type="http://schemas.openxmlformats.org/officeDocument/2006/relationships/hyperlink" Id="rId82" Target="https://doi.org/10.1126/science.adh8830" TargetMode="External" /><Relationship Type="http://schemas.openxmlformats.org/officeDocument/2006/relationships/hyperlink" Id="rId72" Target="https://doi.org/10.1371/journal.pone.0103225" TargetMode="External" /><Relationship Type="http://schemas.openxmlformats.org/officeDocument/2006/relationships/hyperlink" Id="rId26" Target="https://doi.org/10.32614/CRAN.package.rNeighborGWAS" TargetMode="External" /><Relationship Type="http://schemas.openxmlformats.org/officeDocument/2006/relationships/hyperlink" Id="rId41" Target="https://doi.org/xxxxxx" TargetMode="External" /><Relationship Type="http://schemas.openxmlformats.org/officeDocument/2006/relationships/hyperlink" Id="rId40" Target="https://github.com/yassato/caige_barley" TargetMode="External" /><Relationship Type="http://schemas.openxmlformats.org/officeDocument/2006/relationships/hyperlink" Id="rId23" Target="https://www.caigeproject.org.au/" TargetMode="External" /><Relationship Type="http://schemas.openxmlformats.org/officeDocument/2006/relationships/hyperlink" Id="rId56" Target="https://www.caigeproject.org.au/germplasm-evaluation/barley/disease-screening/" TargetMode="External" /><Relationship Type="http://schemas.openxmlformats.org/officeDocument/2006/relationships/hyperlink" Id="rId58" Target="https://www.caigeproject.org.au/germplasm-evaluation/barley/disease-screening/disease-screening-2015/" TargetMode="External" /><Relationship Type="http://schemas.openxmlformats.org/officeDocument/2006/relationships/hyperlink" Id="rId59" Target="https://www.caigeproject.org.au/germplasm-evaluation/barley/disease-screening/disease-screening-2016/" TargetMode="External" /><Relationship Type="http://schemas.openxmlformats.org/officeDocument/2006/relationships/hyperlink" Id="rId60"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57" Target="http://52.64.175.84:8080/gigwa/?module=caigebarley&amp;project=Barley_genotypic_data" TargetMode="External" /><Relationship Type="http://schemas.openxmlformats.org/officeDocument/2006/relationships/hyperlink" Id="rId70" Target="https://CRAN.R-project.org/package=gaston" TargetMode="External" /><Relationship Type="http://schemas.openxmlformats.org/officeDocument/2006/relationships/hyperlink" Id="rId84" Target="https://doi.org/10.1002/tpg2.20077" TargetMode="External" /><Relationship Type="http://schemas.openxmlformats.org/officeDocument/2006/relationships/hyperlink" Id="rId74" Target="https://doi.org/10.1016/j.spasta.2017.10.003" TargetMode="External" /><Relationship Type="http://schemas.openxmlformats.org/officeDocument/2006/relationships/hyperlink" Id="rId64" Target="https://doi.org/10.1038/hdy.2017.25" TargetMode="External" /><Relationship Type="http://schemas.openxmlformats.org/officeDocument/2006/relationships/hyperlink" Id="rId80" Target="https://doi.org/10.1038/s41437-020-00401-w" TargetMode="External" /><Relationship Type="http://schemas.openxmlformats.org/officeDocument/2006/relationships/hyperlink" Id="rId76" Target="https://doi.org/10.1038/s41467-024-52374-7" TargetMode="External" /><Relationship Type="http://schemas.openxmlformats.org/officeDocument/2006/relationships/hyperlink" Id="rId88" Target="https://doi.org/10.1038/s41559-021-01497-x" TargetMode="External" /><Relationship Type="http://schemas.openxmlformats.org/officeDocument/2006/relationships/hyperlink" Id="rId68" Target="https://doi.org/10.1038/s41559-023-02189-4" TargetMode="External" /><Relationship Type="http://schemas.openxmlformats.org/officeDocument/2006/relationships/hyperlink" Id="rId78" Target="https://doi.org/10.1093/pcp/pcae092" TargetMode="External" /><Relationship Type="http://schemas.openxmlformats.org/officeDocument/2006/relationships/hyperlink" Id="rId62" Target="https://doi.org/10.1093/sysbio/syz020" TargetMode="External" /><Relationship Type="http://schemas.openxmlformats.org/officeDocument/2006/relationships/hyperlink" Id="rId90" Target="https://doi.org/10.1098/rsos.230399" TargetMode="External" /><Relationship Type="http://schemas.openxmlformats.org/officeDocument/2006/relationships/hyperlink" Id="rId86" Target="https://doi.org/10.1111/j.1365-2664.2012.02173.x" TargetMode="External" /><Relationship Type="http://schemas.openxmlformats.org/officeDocument/2006/relationships/hyperlink" Id="rId66" Target="https://doi.org/10.1111/nph.17915" TargetMode="External" /><Relationship Type="http://schemas.openxmlformats.org/officeDocument/2006/relationships/hyperlink" Id="rId82" Target="https://doi.org/10.1126/science.adh8830" TargetMode="External" /><Relationship Type="http://schemas.openxmlformats.org/officeDocument/2006/relationships/hyperlink" Id="rId72" Target="https://doi.org/10.1371/journal.pone.0103225" TargetMode="External" /><Relationship Type="http://schemas.openxmlformats.org/officeDocument/2006/relationships/hyperlink" Id="rId26" Target="https://doi.org/10.32614/CRAN.package.rNeighborGWAS" TargetMode="External" /><Relationship Type="http://schemas.openxmlformats.org/officeDocument/2006/relationships/hyperlink" Id="rId41" Target="https://doi.org/xxxxxx" TargetMode="External" /><Relationship Type="http://schemas.openxmlformats.org/officeDocument/2006/relationships/hyperlink" Id="rId40" Target="https://github.com/yassato/caige_barley" TargetMode="External" /><Relationship Type="http://schemas.openxmlformats.org/officeDocument/2006/relationships/hyperlink" Id="rId23" Target="https://www.caigeproject.org.au/" TargetMode="External" /><Relationship Type="http://schemas.openxmlformats.org/officeDocument/2006/relationships/hyperlink" Id="rId56" Target="https://www.caigeproject.org.au/germplasm-evaluation/barley/disease-screening/" TargetMode="External" /><Relationship Type="http://schemas.openxmlformats.org/officeDocument/2006/relationships/hyperlink" Id="rId58" Target="https://www.caigeproject.org.au/germplasm-evaluation/barley/disease-screening/disease-screening-2015/" TargetMode="External" /><Relationship Type="http://schemas.openxmlformats.org/officeDocument/2006/relationships/hyperlink" Id="rId59" Target="https://www.caigeproject.org.au/germplasm-evaluation/barley/disease-screening/disease-screening-2016/" TargetMode="External" /><Relationship Type="http://schemas.openxmlformats.org/officeDocument/2006/relationships/hyperlink" Id="rId60"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 cultivars</dc:title>
  <dc:creator/>
  <cp:keywords/>
  <dcterms:created xsi:type="dcterms:W3CDTF">2025-01-23T13:08:33Z</dcterms:created>
  <dcterms:modified xsi:type="dcterms:W3CDTF">2025-01-23T13:08:33Z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